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21450311"/>
        <w:docPartObj>
          <w:docPartGallery w:val="Cover Pages"/>
          <w:docPartUnique/>
        </w:docPartObj>
      </w:sdtPr>
      <w:sdtContent>
        <w:p w14:paraId="6D26D30A" w14:textId="3A1A549B" w:rsidR="007E5ABE" w:rsidRDefault="00A424EE" w:rsidP="00691E76">
          <w:r w:rsidRPr="00A424EE">
            <w:rPr>
              <w:noProof/>
            </w:rPr>
            <mc:AlternateContent>
              <mc:Choice Requires="wps">
                <w:drawing>
                  <wp:anchor distT="0" distB="0" distL="114300" distR="114300" simplePos="0" relativeHeight="251658243" behindDoc="1" locked="0" layoutInCell="1" allowOverlap="1" wp14:anchorId="4BBBB892" wp14:editId="20DD1AD0">
                    <wp:simplePos x="0" y="0"/>
                    <wp:positionH relativeFrom="column">
                      <wp:posOffset>-751205</wp:posOffset>
                    </wp:positionH>
                    <wp:positionV relativeFrom="paragraph">
                      <wp:posOffset>-915035</wp:posOffset>
                    </wp:positionV>
                    <wp:extent cx="7623544" cy="10834577"/>
                    <wp:effectExtent l="0" t="0" r="15875" b="241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3544" cy="10834577"/>
                            </a:xfrm>
                            <a:prstGeom prst="rect">
                              <a:avLst/>
                            </a:prstGeom>
                            <a:solidFill>
                              <a:srgbClr val="1333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w16du="http://schemas.microsoft.com/office/word/2023/wordml/word16du">
                <w:pict w14:anchorId="0AB0521A">
                  <v:rect id="Rectangle 8" style="position:absolute;margin-left:-59.15pt;margin-top:-72.05pt;width:600.3pt;height:853.1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3335a" strokecolor="#1f3763 [1604]" strokeweight="1pt" w14:anchorId="5F177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"/>
                </w:pict>
              </mc:Fallback>
            </mc:AlternateContent>
          </w:r>
        </w:p>
        <w:tbl>
          <w:tblPr>
            <w:tblpPr w:leftFromText="187" w:rightFromText="187" w:vertAnchor="page" w:horzAnchor="margin" w:tblpXSpec="center" w:tblpY="5165"/>
            <w:tblW w:w="3705" w:type="pct"/>
            <w:tblBorders>
              <w:left w:val="single" w:sz="4" w:space="0" w:color="FF7F30"/>
            </w:tblBorders>
            <w:tblCellMar>
              <w:left w:w="144" w:type="dxa"/>
              <w:right w:w="115" w:type="dxa"/>
            </w:tblCellMar>
            <w:tblLook w:val="04A0" w:firstRow="1" w:lastRow="0" w:firstColumn="1" w:lastColumn="0" w:noHBand="0" w:noVBand="1"/>
          </w:tblPr>
          <w:tblGrid>
            <w:gridCol w:w="6686"/>
            <w:gridCol w:w="225"/>
          </w:tblGrid>
          <w:tr w:rsidR="007E5ABE" w14:paraId="5BFEA5FE" w14:textId="77777777" w:rsidTr="00D4180E">
            <w:trPr>
              <w:trHeight w:val="315"/>
            </w:trPr>
            <w:sdt>
              <w:sdtPr>
                <w:rPr>
                  <w:rFonts w:ascii="Altis Medium" w:hAnsi="Altis Medium"/>
                  <w:color w:val="FFFFFF" w:themeColor="background1"/>
                  <w:sz w:val="24"/>
                  <w:szCs w:val="24"/>
                </w:rPr>
                <w:alias w:val="Company"/>
                <w:id w:val="13406915"/>
                <w:placeholder>
                  <w:docPart w:val="D8E2158BDC464C6D9713DDCF4691E603"/>
                </w:placeholder>
                <w:dataBinding w:prefixMappings="xmlns:ns0='http://schemas.openxmlformats.org/officeDocument/2006/extended-properties'" w:xpath="/ns0:Properties[1]/ns0:Company[1]" w:storeItemID="{6668398D-A668-4E3E-A5EB-62B293D839F1}"/>
                <w:text/>
              </w:sdtPr>
              <w:sdtContent>
                <w:tc>
                  <w:tcPr>
                    <w:tcW w:w="6912" w:type="dxa"/>
                    <w:gridSpan w:val="2"/>
                    <w:tcMar>
                      <w:top w:w="216" w:type="dxa"/>
                      <w:left w:w="115" w:type="dxa"/>
                      <w:bottom w:w="216" w:type="dxa"/>
                      <w:right w:w="115" w:type="dxa"/>
                    </w:tcMar>
                  </w:tcPr>
                  <w:p w14:paraId="057B086B" w14:textId="5D3EFF99" w:rsidR="007E5ABE" w:rsidRDefault="00D4180E" w:rsidP="0061332D">
                    <w:pPr>
                      <w:pStyle w:val="NoSpacing"/>
                      <w:rPr>
                        <w:color w:val="2F5496" w:themeColor="accent1" w:themeShade="BF"/>
                        <w:sz w:val="24"/>
                      </w:rPr>
                    </w:pPr>
                    <w:r>
                      <w:rPr>
                        <w:rFonts w:ascii="Altis Medium" w:hAnsi="Altis Medium"/>
                        <w:color w:val="FFFFFF" w:themeColor="background1"/>
                        <w:sz w:val="24"/>
                        <w:szCs w:val="24"/>
                      </w:rPr>
                      <w:t>Cardiff Metropolitan University</w:t>
                    </w:r>
                  </w:p>
                </w:tc>
              </w:sdtContent>
            </w:sdt>
          </w:tr>
          <w:tr w:rsidR="007E5ABE" w14:paraId="658D6558" w14:textId="77777777" w:rsidTr="00D4180E">
            <w:trPr>
              <w:gridAfter w:val="1"/>
              <w:wAfter w:w="253" w:type="dxa"/>
              <w:trHeight w:val="5099"/>
            </w:trPr>
            <w:tc>
              <w:tcPr>
                <w:tcW w:w="6912" w:type="dxa"/>
              </w:tcPr>
              <w:sdt>
                <w:sdtPr>
                  <w:rPr>
                    <w:rFonts w:ascii="Altis Medium" w:eastAsiaTheme="majorEastAsia" w:hAnsi="Altis Medium" w:cstheme="majorBidi"/>
                    <w:color w:val="FFFFFF" w:themeColor="background1"/>
                    <w:sz w:val="88"/>
                    <w:szCs w:val="88"/>
                  </w:rPr>
                  <w:alias w:val="Title"/>
                  <w:id w:val="2033293015"/>
                  <w:placeholder>
                    <w:docPart w:val="0DBCB6B372C4BA4287779DA2ED00EF55"/>
                  </w:placeholder>
                  <w:dataBinding w:prefixMappings="xmlns:ns0='http://schemas.openxmlformats.org/package/2006/metadata/core-properties' xmlns:ns1='http://purl.org/dc/elements/1.1/'" w:xpath="/ns0:coreProperties[1]/ns1:title[1]" w:storeItemID="{6C3C8BC8-F283-45AE-878A-BAB7291924A1}"/>
                  <w:text/>
                </w:sdtPr>
                <w:sdtContent>
                  <w:p w14:paraId="5332F928" w14:textId="4CCEF2F7" w:rsidR="007E5ABE" w:rsidRPr="00D4180E" w:rsidRDefault="00D4180E" w:rsidP="0061332D">
                    <w:pPr>
                      <w:pStyle w:val="NoSpacing"/>
                      <w:spacing w:line="216" w:lineRule="auto"/>
                      <w:rPr>
                        <w:rFonts w:ascii="Altis Medium" w:eastAsiaTheme="majorEastAsia" w:hAnsi="Altis Medium" w:cstheme="majorBidi"/>
                        <w:color w:val="FFFFFF" w:themeColor="background1"/>
                        <w:sz w:val="88"/>
                        <w:szCs w:val="88"/>
                      </w:rPr>
                    </w:pPr>
                    <w:r w:rsidRPr="00D4180E">
                      <w:rPr>
                        <w:rFonts w:ascii="Altis Medium" w:eastAsiaTheme="majorEastAsia" w:hAnsi="Altis Medium" w:cstheme="majorBidi"/>
                        <w:color w:val="FFFFFF" w:themeColor="background1"/>
                        <w:sz w:val="88"/>
                        <w:szCs w:val="88"/>
                      </w:rPr>
                      <w:t>Strategic Planning and Performance Committee    Annual Report</w:t>
                    </w:r>
                  </w:p>
                </w:sdtContent>
              </w:sdt>
            </w:tc>
          </w:tr>
          <w:tr w:rsidR="007E5ABE" w14:paraId="50CACC7A" w14:textId="77777777" w:rsidTr="00D4180E">
            <w:trPr>
              <w:trHeight w:val="315"/>
            </w:trPr>
            <w:sdt>
              <w:sdtPr>
                <w:rPr>
                  <w:rFonts w:ascii="Altis Medium" w:hAnsi="Altis Medium"/>
                  <w:color w:val="FFFFFF" w:themeColor="background1"/>
                  <w:sz w:val="24"/>
                  <w:szCs w:val="24"/>
                </w:rPr>
                <w:alias w:val="Subtitle"/>
                <w:id w:val="13406923"/>
                <w:placeholder>
                  <w:docPart w:val="9140AFD5FCA14F519547AF4533B5F320"/>
                </w:placeholder>
                <w:dataBinding w:prefixMappings="xmlns:ns0='http://schemas.openxmlformats.org/package/2006/metadata/core-properties' xmlns:ns1='http://purl.org/dc/elements/1.1/'" w:xpath="/ns0:coreProperties[1]/ns1:subject[1]" w:storeItemID="{6C3C8BC8-F283-45AE-878A-BAB7291924A1}"/>
                <w:text/>
              </w:sdtPr>
              <w:sdtContent>
                <w:tc>
                  <w:tcPr>
                    <w:tcW w:w="6912" w:type="dxa"/>
                    <w:gridSpan w:val="2"/>
                    <w:tcMar>
                      <w:top w:w="216" w:type="dxa"/>
                      <w:left w:w="115" w:type="dxa"/>
                      <w:bottom w:w="216" w:type="dxa"/>
                      <w:right w:w="115" w:type="dxa"/>
                    </w:tcMar>
                  </w:tcPr>
                  <w:p w14:paraId="7C75DDCC" w14:textId="722A705D" w:rsidR="007E5ABE" w:rsidRDefault="00D4180E" w:rsidP="0061332D">
                    <w:pPr>
                      <w:pStyle w:val="NoSpacing"/>
                      <w:rPr>
                        <w:color w:val="2F5496" w:themeColor="accent1" w:themeShade="BF"/>
                        <w:sz w:val="24"/>
                      </w:rPr>
                    </w:pPr>
                    <w:r>
                      <w:rPr>
                        <w:rFonts w:ascii="Altis Medium" w:hAnsi="Altis Medium"/>
                        <w:color w:val="FFFFFF" w:themeColor="background1"/>
                        <w:sz w:val="24"/>
                        <w:szCs w:val="24"/>
                      </w:rPr>
                      <w:t>Academic Year 202</w:t>
                    </w:r>
                    <w:r w:rsidR="003A51CE">
                      <w:rPr>
                        <w:rFonts w:ascii="Altis Medium" w:hAnsi="Altis Medium"/>
                        <w:color w:val="FFFFFF" w:themeColor="background1"/>
                        <w:sz w:val="24"/>
                        <w:szCs w:val="24"/>
                      </w:rPr>
                      <w:t>2</w:t>
                    </w:r>
                    <w:r>
                      <w:rPr>
                        <w:rFonts w:ascii="Altis Medium" w:hAnsi="Altis Medium"/>
                        <w:color w:val="FFFFFF" w:themeColor="background1"/>
                        <w:sz w:val="24"/>
                        <w:szCs w:val="24"/>
                      </w:rPr>
                      <w:t>/202</w:t>
                    </w:r>
                    <w:r w:rsidR="003A51CE">
                      <w:rPr>
                        <w:rFonts w:ascii="Altis Medium" w:hAnsi="Altis Medium"/>
                        <w:color w:val="FFFFFF" w:themeColor="background1"/>
                        <w:sz w:val="24"/>
                        <w:szCs w:val="24"/>
                      </w:rPr>
                      <w:t>3</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95"/>
          </w:tblGrid>
          <w:tr w:rsidR="007E5ABE" w14:paraId="2914483B" w14:textId="77777777" w:rsidTr="00D4180E">
            <w:tc>
              <w:tcPr>
                <w:tcW w:w="7221" w:type="dxa"/>
                <w:tcBorders>
                  <w:left w:val="single" w:sz="4" w:space="0" w:color="FF7F30"/>
                </w:tcBorders>
                <w:shd w:val="clear" w:color="auto" w:fill="auto"/>
                <w:tcMar>
                  <w:top w:w="216" w:type="dxa"/>
                  <w:left w:w="115" w:type="dxa"/>
                  <w:bottom w:w="216" w:type="dxa"/>
                  <w:right w:w="115" w:type="dxa"/>
                </w:tcMar>
              </w:tcPr>
              <w:p w14:paraId="0F13376B" w14:textId="379D782D" w:rsidR="007E5ABE" w:rsidRPr="00F45644" w:rsidRDefault="00F45644">
                <w:pPr>
                  <w:pStyle w:val="NoSpacing"/>
                  <w:rPr>
                    <w:rFonts w:ascii="Altis" w:hAnsi="Altis"/>
                    <w:color w:val="FFFFFF" w:themeColor="background1"/>
                    <w:sz w:val="28"/>
                    <w:szCs w:val="28"/>
                  </w:rPr>
                </w:pPr>
                <w:r w:rsidRPr="00F45644">
                  <w:rPr>
                    <w:rFonts w:ascii="Altis" w:hAnsi="Altis"/>
                    <w:color w:val="FFFFFF" w:themeColor="background1"/>
                    <w:sz w:val="28"/>
                    <w:szCs w:val="28"/>
                  </w:rPr>
                  <w:t>Ap</w:t>
                </w:r>
                <w:r w:rsidR="00D4180E">
                  <w:rPr>
                    <w:rFonts w:ascii="Altis" w:hAnsi="Altis"/>
                    <w:color w:val="FFFFFF" w:themeColor="background1"/>
                    <w:sz w:val="28"/>
                    <w:szCs w:val="28"/>
                  </w:rPr>
                  <w:t xml:space="preserve">proved </w:t>
                </w:r>
                <w:r w:rsidRPr="00F45644">
                  <w:rPr>
                    <w:rFonts w:ascii="Altis" w:hAnsi="Altis"/>
                    <w:color w:val="FFFFFF" w:themeColor="background1"/>
                    <w:sz w:val="28"/>
                    <w:szCs w:val="28"/>
                  </w:rPr>
                  <w:t xml:space="preserve">by: </w:t>
                </w:r>
                <w:sdt>
                  <w:sdtPr>
                    <w:rPr>
                      <w:rFonts w:ascii="Altis" w:hAnsi="Altis"/>
                      <w:color w:val="FFFFFF" w:themeColor="background1"/>
                      <w:sz w:val="28"/>
                      <w:szCs w:val="28"/>
                    </w:rPr>
                    <w:alias w:val="Author"/>
                    <w:id w:val="13406928"/>
                    <w:placeholder>
                      <w:docPart w:val="B459B88693E847ED958F8D23AFAE80B7"/>
                    </w:placeholder>
                    <w:dataBinding w:prefixMappings="xmlns:ns0='http://schemas.openxmlformats.org/package/2006/metadata/core-properties' xmlns:ns1='http://purl.org/dc/elements/1.1/'" w:xpath="/ns0:coreProperties[1]/ns1:creator[1]" w:storeItemID="{6C3C8BC8-F283-45AE-878A-BAB7291924A1}"/>
                    <w:text/>
                  </w:sdtPr>
                  <w:sdtContent>
                    <w:r w:rsidR="00D4180E">
                      <w:rPr>
                        <w:rFonts w:ascii="Altis" w:hAnsi="Altis"/>
                        <w:color w:val="FFFFFF" w:themeColor="background1"/>
                        <w:sz w:val="28"/>
                        <w:szCs w:val="28"/>
                      </w:rPr>
                      <w:t>Taylor, John</w:t>
                    </w:r>
                  </w:sdtContent>
                </w:sdt>
              </w:p>
              <w:p w14:paraId="6F41C834" w14:textId="276DEB72" w:rsidR="007E5ABE" w:rsidRPr="00F45644" w:rsidRDefault="000D2FC6">
                <w:pPr>
                  <w:pStyle w:val="NoSpacing"/>
                  <w:rPr>
                    <w:rFonts w:ascii="Altis" w:hAnsi="Altis"/>
                    <w:color w:val="FFFFFF" w:themeColor="background1"/>
                    <w:sz w:val="28"/>
                    <w:szCs w:val="28"/>
                  </w:rPr>
                </w:pPr>
                <w:r>
                  <w:rPr>
                    <w:rFonts w:ascii="Altis" w:hAnsi="Altis"/>
                    <w:color w:val="FFFFFF" w:themeColor="background1"/>
                    <w:sz w:val="28"/>
                    <w:szCs w:val="28"/>
                  </w:rPr>
                  <w:t>December</w:t>
                </w:r>
                <w:r w:rsidR="003A51CE">
                  <w:rPr>
                    <w:rFonts w:ascii="Altis" w:hAnsi="Altis"/>
                    <w:color w:val="FFFFFF" w:themeColor="background1"/>
                    <w:sz w:val="28"/>
                    <w:szCs w:val="28"/>
                  </w:rPr>
                  <w:t xml:space="preserve"> </w:t>
                </w:r>
                <w:r w:rsidR="00AA77D6">
                  <w:rPr>
                    <w:rFonts w:ascii="Altis" w:hAnsi="Altis"/>
                    <w:color w:val="FFFFFF" w:themeColor="background1"/>
                    <w:sz w:val="28"/>
                    <w:szCs w:val="28"/>
                  </w:rPr>
                  <w:t>2023</w:t>
                </w:r>
              </w:p>
              <w:p w14:paraId="49AA65E8" w14:textId="77777777" w:rsidR="007E5ABE" w:rsidRDefault="007E5ABE">
                <w:pPr>
                  <w:pStyle w:val="NoSpacing"/>
                  <w:rPr>
                    <w:color w:val="4472C4" w:themeColor="accent1"/>
                  </w:rPr>
                </w:pPr>
              </w:p>
            </w:tc>
          </w:tr>
        </w:tbl>
        <w:p w14:paraId="72DEEC94" w14:textId="1F2C9321" w:rsidR="007E5ABE" w:rsidRDefault="00A424EE" w:rsidP="00691E76">
          <w:pPr>
            <w:rPr>
              <w:rFonts w:eastAsiaTheme="majorEastAsia" w:cstheme="majorBidi"/>
            </w:rPr>
          </w:pPr>
          <w:r w:rsidRPr="00A424EE">
            <w:rPr>
              <w:noProof/>
            </w:rPr>
            <w:drawing>
              <wp:anchor distT="0" distB="0" distL="114300" distR="114300" simplePos="0" relativeHeight="251658244" behindDoc="1" locked="0" layoutInCell="1" allowOverlap="1" wp14:anchorId="733EF7EF" wp14:editId="79FD8473">
                <wp:simplePos x="0" y="0"/>
                <wp:positionH relativeFrom="margin">
                  <wp:posOffset>761365</wp:posOffset>
                </wp:positionH>
                <wp:positionV relativeFrom="paragraph">
                  <wp:posOffset>48895</wp:posOffset>
                </wp:positionV>
                <wp:extent cx="4575175" cy="1350010"/>
                <wp:effectExtent l="0" t="0" r="0" b="2540"/>
                <wp:wrapTight wrapText="bothSides">
                  <wp:wrapPolygon edited="0">
                    <wp:start x="2698" y="0"/>
                    <wp:lineTo x="1349" y="1219"/>
                    <wp:lineTo x="270" y="3658"/>
                    <wp:lineTo x="0" y="7620"/>
                    <wp:lineTo x="0" y="13411"/>
                    <wp:lineTo x="360" y="20117"/>
                    <wp:lineTo x="450" y="21336"/>
                    <wp:lineTo x="3598" y="21336"/>
                    <wp:lineTo x="3687" y="20117"/>
                    <wp:lineTo x="17088" y="19507"/>
                    <wp:lineTo x="19876" y="18593"/>
                    <wp:lineTo x="19696" y="14630"/>
                    <wp:lineTo x="21495" y="13716"/>
                    <wp:lineTo x="21495" y="10058"/>
                    <wp:lineTo x="19247" y="8839"/>
                    <wp:lineTo x="18887" y="5182"/>
                    <wp:lineTo x="3777" y="4877"/>
                    <wp:lineTo x="3238" y="0"/>
                    <wp:lineTo x="2698"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ET landscape 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4575175" cy="1350010"/>
                        </a:xfrm>
                        <a:prstGeom prst="rect">
                          <a:avLst/>
                        </a:prstGeom>
                      </pic:spPr>
                    </pic:pic>
                  </a:graphicData>
                </a:graphic>
                <wp14:sizeRelH relativeFrom="page">
                  <wp14:pctWidth>0</wp14:pctWidth>
                </wp14:sizeRelH>
                <wp14:sizeRelV relativeFrom="page">
                  <wp14:pctHeight>0</wp14:pctHeight>
                </wp14:sizeRelV>
              </wp:anchor>
            </w:drawing>
          </w:r>
          <w:r w:rsidR="007E5ABE">
            <w:br w:type="page"/>
          </w:r>
        </w:p>
      </w:sdtContent>
    </w:sdt>
    <w:p w14:paraId="39D33F5A" w14:textId="03824F64" w:rsidR="00CB5D44" w:rsidRDefault="005D7483" w:rsidP="00691E76">
      <w:pPr>
        <w:pStyle w:val="Title"/>
      </w:pPr>
      <w:r w:rsidRPr="00355C44">
        <w:rPr>
          <w:noProof/>
        </w:rPr>
        <w:lastRenderedPageBreak/>
        <mc:AlternateContent>
          <mc:Choice Requires="wps">
            <w:drawing>
              <wp:anchor distT="0" distB="0" distL="114300" distR="114300" simplePos="0" relativeHeight="251658242" behindDoc="0" locked="0" layoutInCell="1" allowOverlap="1" wp14:anchorId="4F1AC42A" wp14:editId="46B4D09A">
                <wp:simplePos x="0" y="0"/>
                <wp:positionH relativeFrom="margin">
                  <wp:posOffset>3810</wp:posOffset>
                </wp:positionH>
                <wp:positionV relativeFrom="paragraph">
                  <wp:posOffset>-849630</wp:posOffset>
                </wp:positionV>
                <wp:extent cx="4073525" cy="1028700"/>
                <wp:effectExtent l="0" t="0" r="0" b="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1028700"/>
                        </a:xfrm>
                        <a:prstGeom prst="rect">
                          <a:avLst/>
                        </a:prstGeom>
                        <a:noFill/>
                        <a:ln w="9525">
                          <a:noFill/>
                          <a:miter lim="800000"/>
                          <a:headEnd/>
                          <a:tailEnd/>
                        </a:ln>
                      </wps:spPr>
                      <wps:txbx>
                        <w:txbxContent>
                          <w:p w14:paraId="19C7E67E" w14:textId="18D36B68" w:rsidR="00DD3855" w:rsidRPr="00920A52" w:rsidRDefault="00457FE4" w:rsidP="00691E76">
                            <w:pPr>
                              <w:rPr>
                                <w:rFonts w:cs="Arial"/>
                                <w:color w:val="FFFFFF" w:themeColor="background1"/>
                                <w:sz w:val="40"/>
                                <w:szCs w:val="40"/>
                              </w:rPr>
                            </w:pPr>
                            <w:r>
                              <w:rPr>
                                <w:rFonts w:cs="Arial"/>
                                <w:color w:val="FFFFFF" w:themeColor="background1"/>
                                <w:sz w:val="40"/>
                                <w:szCs w:val="40"/>
                              </w:rPr>
                              <w:t xml:space="preserve">Strategic Planning </w:t>
                            </w:r>
                            <w:r w:rsidR="000017E3">
                              <w:rPr>
                                <w:rFonts w:cs="Arial"/>
                                <w:color w:val="FFFFFF" w:themeColor="background1"/>
                                <w:sz w:val="40"/>
                                <w:szCs w:val="40"/>
                              </w:rPr>
                              <w:t>and</w:t>
                            </w:r>
                            <w:r>
                              <w:rPr>
                                <w:rFonts w:cs="Arial"/>
                                <w:color w:val="FFFFFF" w:themeColor="background1"/>
                                <w:sz w:val="40"/>
                                <w:szCs w:val="40"/>
                              </w:rPr>
                              <w:t xml:space="preserve"> </w:t>
                            </w:r>
                            <w:r>
                              <w:rPr>
                                <w:rFonts w:cs="Arial"/>
                                <w:color w:val="FFFFFF" w:themeColor="background1"/>
                                <w:sz w:val="40"/>
                                <w:szCs w:val="40"/>
                              </w:rPr>
                              <w:br/>
                              <w:t>Performance</w:t>
                            </w:r>
                            <w:r w:rsidR="00DD3855" w:rsidRPr="00920A52">
                              <w:rPr>
                                <w:rFonts w:cs="Arial"/>
                                <w:color w:val="FFFFFF" w:themeColor="background1"/>
                                <w:sz w:val="40"/>
                                <w:szCs w:val="40"/>
                              </w:rPr>
                              <w:t xml:space="preserve"> Committee </w:t>
                            </w:r>
                            <w:r w:rsidR="005F668C">
                              <w:rPr>
                                <w:rFonts w:cs="Arial"/>
                                <w:color w:val="FFFFFF" w:themeColor="background1"/>
                                <w:sz w:val="40"/>
                                <w:szCs w:val="40"/>
                              </w:rPr>
                              <w:br/>
                            </w:r>
                            <w:r w:rsidR="00DD3855" w:rsidRPr="00920A52">
                              <w:rPr>
                                <w:rFonts w:cs="Arial"/>
                                <w:color w:val="FFFFFF" w:themeColor="background1"/>
                                <w:sz w:val="40"/>
                                <w:szCs w:val="40"/>
                              </w:rPr>
                              <w:t>Annual Report</w:t>
                            </w:r>
                            <w:r w:rsidR="00425DCC" w:rsidRPr="00920A52">
                              <w:rPr>
                                <w:rFonts w:cs="Arial"/>
                                <w:color w:val="FFFFFF" w:themeColor="background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F1AC42A" id="_x0000_t202" coordsize="21600,21600" o:spt="202" path="m,l,21600r21600,l21600,xe">
                <v:stroke joinstyle="miter"/>
                <v:path gradientshapeok="t" o:connecttype="rect"/>
              </v:shapetype>
              <v:shape id="Text Box 217" o:spid="_x0000_s1026" type="#_x0000_t202" alt="&quot;&quot;" style="position:absolute;margin-left:.3pt;margin-top:-66.9pt;width:320.75pt;height:8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" filled="f" stroked="f">
                <v:textbox>
                  <w:txbxContent>
                    <w:p w14:paraId="19C7E67E" w14:textId="18D36B68" w:rsidR="00DD3855" w:rsidRPr="00920A52" w:rsidRDefault="00457FE4" w:rsidP="00691E76">
                      <w:pPr>
                        <w:rPr>
                          <w:rFonts w:cs="Arial"/>
                          <w:color w:val="FFFFFF" w:themeColor="background1"/>
                          <w:sz w:val="40"/>
                          <w:szCs w:val="40"/>
                        </w:rPr>
                      </w:pPr>
                      <w:r>
                        <w:rPr>
                          <w:rFonts w:cs="Arial"/>
                          <w:color w:val="FFFFFF" w:themeColor="background1"/>
                          <w:sz w:val="40"/>
                          <w:szCs w:val="40"/>
                        </w:rPr>
                        <w:t xml:space="preserve">Strategic Planning </w:t>
                      </w:r>
                      <w:r w:rsidR="000017E3">
                        <w:rPr>
                          <w:rFonts w:cs="Arial"/>
                          <w:color w:val="FFFFFF" w:themeColor="background1"/>
                          <w:sz w:val="40"/>
                          <w:szCs w:val="40"/>
                        </w:rPr>
                        <w:t>and</w:t>
                      </w:r>
                      <w:r>
                        <w:rPr>
                          <w:rFonts w:cs="Arial"/>
                          <w:color w:val="FFFFFF" w:themeColor="background1"/>
                          <w:sz w:val="40"/>
                          <w:szCs w:val="40"/>
                        </w:rPr>
                        <w:t xml:space="preserve"> </w:t>
                      </w:r>
                      <w:r>
                        <w:rPr>
                          <w:rFonts w:cs="Arial"/>
                          <w:color w:val="FFFFFF" w:themeColor="background1"/>
                          <w:sz w:val="40"/>
                          <w:szCs w:val="40"/>
                        </w:rPr>
                        <w:br/>
                        <w:t>Performance</w:t>
                      </w:r>
                      <w:r w:rsidR="00DD3855" w:rsidRPr="00920A52">
                        <w:rPr>
                          <w:rFonts w:cs="Arial"/>
                          <w:color w:val="FFFFFF" w:themeColor="background1"/>
                          <w:sz w:val="40"/>
                          <w:szCs w:val="40"/>
                        </w:rPr>
                        <w:t xml:space="preserve"> Committee </w:t>
                      </w:r>
                      <w:r w:rsidR="005F668C">
                        <w:rPr>
                          <w:rFonts w:cs="Arial"/>
                          <w:color w:val="FFFFFF" w:themeColor="background1"/>
                          <w:sz w:val="40"/>
                          <w:szCs w:val="40"/>
                        </w:rPr>
                        <w:br/>
                      </w:r>
                      <w:r w:rsidR="00DD3855" w:rsidRPr="00920A52">
                        <w:rPr>
                          <w:rFonts w:cs="Arial"/>
                          <w:color w:val="FFFFFF" w:themeColor="background1"/>
                          <w:sz w:val="40"/>
                          <w:szCs w:val="40"/>
                        </w:rPr>
                        <w:t>Annual Report</w:t>
                      </w:r>
                      <w:r w:rsidR="00425DCC" w:rsidRPr="00920A52">
                        <w:rPr>
                          <w:rFonts w:cs="Arial"/>
                          <w:color w:val="FFFFFF" w:themeColor="background1"/>
                          <w:sz w:val="40"/>
                          <w:szCs w:val="40"/>
                        </w:rPr>
                        <w:t xml:space="preserve"> </w:t>
                      </w:r>
                    </w:p>
                  </w:txbxContent>
                </v:textbox>
                <w10:wrap anchorx="margin"/>
              </v:shape>
            </w:pict>
          </mc:Fallback>
        </mc:AlternateContent>
      </w:r>
      <w:r w:rsidR="00AF1C1E">
        <w:rPr>
          <w:noProof/>
        </w:rPr>
        <mc:AlternateContent>
          <mc:Choice Requires="wps">
            <w:drawing>
              <wp:anchor distT="0" distB="0" distL="114300" distR="114300" simplePos="0" relativeHeight="251658240" behindDoc="0" locked="0" layoutInCell="1" allowOverlap="1" wp14:anchorId="351FA040" wp14:editId="403C57BC">
                <wp:simplePos x="0" y="0"/>
                <wp:positionH relativeFrom="column">
                  <wp:posOffset>-751042</wp:posOffset>
                </wp:positionH>
                <wp:positionV relativeFrom="paragraph">
                  <wp:posOffset>-923290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dec="http://schemas.microsoft.com/office/drawing/2017/decorative" xmlns:a="http://schemas.openxmlformats.org/drawingml/2006/main" xmlns:w16du="http://schemas.microsoft.com/office/word/2023/wordml/word16du">
            <w:pict w14:anchorId="239212C7">
              <v:rect id="Rectangle 1" style="position:absolute;margin-left:-59.15pt;margin-top:-72.7pt;width:599.5pt;height:88.25pt;z-index:25155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13335a" stroked="f" strokeweight="1pt" w14:anchorId="098969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"/>
            </w:pict>
          </mc:Fallback>
        </mc:AlternateContent>
      </w:r>
      <w:r w:rsidR="00355C44" w:rsidRPr="00355C44">
        <w:rPr>
          <w:noProof/>
        </w:rPr>
        <w:drawing>
          <wp:anchor distT="0" distB="0" distL="114300" distR="114300" simplePos="0" relativeHeight="251658241" behindDoc="0" locked="0" layoutInCell="1" allowOverlap="1" wp14:anchorId="12E4FA9F" wp14:editId="6B471233">
            <wp:simplePos x="0" y="0"/>
            <wp:positionH relativeFrom="column">
              <wp:posOffset>3491953</wp:posOffset>
            </wp:positionH>
            <wp:positionV relativeFrom="paragraph">
              <wp:posOffset>-767715</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p>
    <w:p w14:paraId="17603FCF" w14:textId="148B04A9" w:rsidR="00C30F00" w:rsidRPr="00D4180E" w:rsidRDefault="003B24B0" w:rsidP="00691E76">
      <w:pPr>
        <w:pStyle w:val="Heading1"/>
      </w:pPr>
      <w:r w:rsidRPr="00D4180E">
        <w:t>About t</w:t>
      </w:r>
      <w:r w:rsidR="00C73EA3" w:rsidRPr="00D4180E">
        <w:t xml:space="preserve">he Committee </w:t>
      </w:r>
    </w:p>
    <w:p w14:paraId="6FB06181" w14:textId="7BEEDC42" w:rsidR="00691E76" w:rsidRPr="00AA77D6" w:rsidRDefault="005B5CB3" w:rsidP="00D4180E">
      <w:pPr>
        <w:jc w:val="both"/>
      </w:pPr>
      <w:r w:rsidRPr="00AA77D6">
        <w:t xml:space="preserve">The </w:t>
      </w:r>
      <w:r w:rsidR="00CF48DF" w:rsidRPr="00AA77D6">
        <w:t xml:space="preserve">Strategic Planning </w:t>
      </w:r>
      <w:r w:rsidR="00E10D48">
        <w:t>and</w:t>
      </w:r>
      <w:r w:rsidR="00CF48DF" w:rsidRPr="00AA77D6">
        <w:t xml:space="preserve"> Performance</w:t>
      </w:r>
      <w:r w:rsidRPr="00AA77D6">
        <w:t xml:space="preserve"> Committee (the </w:t>
      </w:r>
      <w:r w:rsidRPr="00AA77D6">
        <w:rPr>
          <w:b/>
          <w:bCs/>
        </w:rPr>
        <w:t>Committee</w:t>
      </w:r>
      <w:r w:rsidRPr="00AA77D6">
        <w:t xml:space="preserve">) </w:t>
      </w:r>
      <w:r w:rsidR="007651CF" w:rsidRPr="00AA77D6">
        <w:t xml:space="preserve">is a delegated body of the Board of Governors (the </w:t>
      </w:r>
      <w:r w:rsidR="007651CF" w:rsidRPr="00AA77D6">
        <w:rPr>
          <w:b/>
          <w:bCs/>
        </w:rPr>
        <w:t>Board</w:t>
      </w:r>
      <w:r w:rsidR="007651CF" w:rsidRPr="00AA77D6">
        <w:t xml:space="preserve">) </w:t>
      </w:r>
      <w:r w:rsidR="00267016" w:rsidRPr="00AA77D6">
        <w:t>at</w:t>
      </w:r>
      <w:r w:rsidR="007651CF" w:rsidRPr="00AA77D6">
        <w:t xml:space="preserve"> </w:t>
      </w:r>
      <w:r w:rsidR="001902AC" w:rsidRPr="00AA77D6">
        <w:t>Cardiff Metropolitan University</w:t>
      </w:r>
      <w:r w:rsidR="00F03F50" w:rsidRPr="00AA77D6">
        <w:t xml:space="preserve"> (</w:t>
      </w:r>
      <w:r w:rsidR="005C478B" w:rsidRPr="00AA77D6">
        <w:t xml:space="preserve">the </w:t>
      </w:r>
      <w:r w:rsidR="005C478B" w:rsidRPr="00AA77D6">
        <w:rPr>
          <w:b/>
          <w:bCs/>
        </w:rPr>
        <w:t>University</w:t>
      </w:r>
      <w:r w:rsidR="00F03F50" w:rsidRPr="00AA77D6">
        <w:t>)</w:t>
      </w:r>
      <w:r w:rsidR="00AB4F5E" w:rsidRPr="00AA77D6">
        <w:t>.</w:t>
      </w:r>
    </w:p>
    <w:p w14:paraId="5CC37775" w14:textId="0DD4EA25" w:rsidR="00A7019A" w:rsidRDefault="00B4517E" w:rsidP="00731A2F">
      <w:pPr>
        <w:jc w:val="both"/>
      </w:pPr>
      <w:bookmarkStart w:id="0" w:name="OLE_LINK5"/>
      <w:bookmarkStart w:id="1" w:name="OLE_LINK6"/>
      <w:r w:rsidRPr="00AA77D6">
        <w:t xml:space="preserve">The </w:t>
      </w:r>
      <w:r w:rsidR="00E33519" w:rsidRPr="00AA77D6">
        <w:t xml:space="preserve">Committee </w:t>
      </w:r>
      <w:r w:rsidR="00E830A4" w:rsidRPr="00AA77D6">
        <w:t>advises</w:t>
      </w:r>
      <w:r w:rsidR="00E33519" w:rsidRPr="00AA77D6">
        <w:t xml:space="preserve"> the Board </w:t>
      </w:r>
      <w:r w:rsidR="00E830A4" w:rsidRPr="00AA77D6">
        <w:t xml:space="preserve">on </w:t>
      </w:r>
      <w:r w:rsidR="008F08CC" w:rsidRPr="00AA77D6">
        <w:t>strateg</w:t>
      </w:r>
      <w:r w:rsidR="004749EA">
        <w:t>ic planning</w:t>
      </w:r>
      <w:r w:rsidR="003A51CE">
        <w:t xml:space="preserve">, </w:t>
      </w:r>
      <w:r w:rsidR="004749EA">
        <w:t>monitoring and evaluation of strategic priorities</w:t>
      </w:r>
      <w:r w:rsidR="003A51CE">
        <w:t>,</w:t>
      </w:r>
      <w:r w:rsidR="00F17AEC">
        <w:t xml:space="preserve"> </w:t>
      </w:r>
      <w:r w:rsidR="003A51CE">
        <w:t>progress towards growth</w:t>
      </w:r>
      <w:r w:rsidR="00F17AEC">
        <w:t xml:space="preserve">, </w:t>
      </w:r>
      <w:r w:rsidR="00574947">
        <w:t>diversification</w:t>
      </w:r>
      <w:r w:rsidR="003A51CE">
        <w:t xml:space="preserve"> and </w:t>
      </w:r>
      <w:r w:rsidR="00F17AEC">
        <w:t>improvemen</w:t>
      </w:r>
      <w:r w:rsidR="00105CDC">
        <w:t>t</w:t>
      </w:r>
      <w:r w:rsidR="003A51CE">
        <w:t>,</w:t>
      </w:r>
      <w:r w:rsidR="00105CDC">
        <w:t xml:space="preserve"> and horizon scanning. </w:t>
      </w:r>
    </w:p>
    <w:bookmarkEnd w:id="0"/>
    <w:bookmarkEnd w:id="1"/>
    <w:p w14:paraId="5952EE48" w14:textId="7D14CC07" w:rsidR="0033497F" w:rsidRPr="00AA77D6" w:rsidRDefault="00E55EB5" w:rsidP="00D4180E">
      <w:pPr>
        <w:jc w:val="both"/>
      </w:pPr>
      <w:r w:rsidRPr="00AA77D6">
        <w:t>In 202</w:t>
      </w:r>
      <w:r w:rsidR="003A51CE">
        <w:t>2</w:t>
      </w:r>
      <w:r w:rsidRPr="00AA77D6">
        <w:t>/202</w:t>
      </w:r>
      <w:r w:rsidR="003A51CE">
        <w:t>3</w:t>
      </w:r>
      <w:r w:rsidRPr="00AA77D6">
        <w:t>, the</w:t>
      </w:r>
      <w:r w:rsidR="00F94351" w:rsidRPr="00AA77D6">
        <w:t xml:space="preserve"> Committee was supported Greg Lane (Head of Governance </w:t>
      </w:r>
      <w:r w:rsidR="00D26037" w:rsidRPr="00AA77D6">
        <w:t>and</w:t>
      </w:r>
      <w:r w:rsidR="00F94351" w:rsidRPr="00AA77D6">
        <w:t xml:space="preserve"> Deputy Clerk to the Board of Governors) and Emily </w:t>
      </w:r>
      <w:r w:rsidR="003A51CE">
        <w:t>Samphier</w:t>
      </w:r>
      <w:r w:rsidR="00F94351" w:rsidRPr="00AA77D6">
        <w:t xml:space="preserve"> (Governance Officer).</w:t>
      </w:r>
    </w:p>
    <w:p w14:paraId="15C1A554" w14:textId="6BC1C7D6" w:rsidR="00705634" w:rsidRPr="00AA77D6" w:rsidRDefault="00410588" w:rsidP="00D4180E">
      <w:pPr>
        <w:jc w:val="both"/>
        <w:rPr>
          <w:u w:val="single"/>
        </w:rPr>
      </w:pPr>
      <w:r w:rsidRPr="00AA77D6">
        <w:rPr>
          <w:u w:val="single"/>
        </w:rPr>
        <w:t>Remit</w:t>
      </w:r>
    </w:p>
    <w:p w14:paraId="64E7F202" w14:textId="44AF71D4" w:rsidR="00B52782" w:rsidRPr="00D4180E" w:rsidRDefault="00410588" w:rsidP="00D4180E">
      <w:pPr>
        <w:jc w:val="both"/>
      </w:pPr>
      <w:r w:rsidRPr="00AA77D6">
        <w:rPr>
          <w:rFonts w:eastAsia="Calibri"/>
        </w:rPr>
        <w:t xml:space="preserve">The </w:t>
      </w:r>
      <w:r w:rsidR="00401D51" w:rsidRPr="00AA77D6">
        <w:rPr>
          <w:rFonts w:eastAsia="Calibri"/>
        </w:rPr>
        <w:t xml:space="preserve">Committee </w:t>
      </w:r>
      <w:r w:rsidRPr="00AA77D6">
        <w:rPr>
          <w:rFonts w:eastAsia="Calibri"/>
        </w:rPr>
        <w:t xml:space="preserve">is responsible for </w:t>
      </w:r>
      <w:r w:rsidR="00E51C0E" w:rsidRPr="00AA77D6">
        <w:rPr>
          <w:rFonts w:eastAsia="Calibri"/>
        </w:rPr>
        <w:t xml:space="preserve">advising the University </w:t>
      </w:r>
      <w:r w:rsidR="00076A7B">
        <w:rPr>
          <w:rFonts w:eastAsia="Calibri"/>
        </w:rPr>
        <w:t>o</w:t>
      </w:r>
      <w:r w:rsidR="00E51C0E" w:rsidRPr="00AA77D6">
        <w:rPr>
          <w:rFonts w:eastAsia="Calibri"/>
        </w:rPr>
        <w:t>n matters regarding strategic pla</w:t>
      </w:r>
      <w:r w:rsidR="00696786" w:rsidRPr="00AA77D6">
        <w:rPr>
          <w:rFonts w:eastAsia="Calibri"/>
        </w:rPr>
        <w:t>nning and academic performance</w:t>
      </w:r>
      <w:r w:rsidRPr="00AA77D6">
        <w:rPr>
          <w:rFonts w:eastAsia="Calibri"/>
        </w:rPr>
        <w:t xml:space="preserve">. </w:t>
      </w:r>
      <w:r w:rsidR="000F6FEB" w:rsidRPr="00AA77D6">
        <w:t xml:space="preserve">It’s Terms of Reference can be found at </w:t>
      </w:r>
      <w:hyperlink w:anchor="_Appendix_1" w:history="1">
        <w:r w:rsidR="000F6FEB" w:rsidRPr="00AA77D6">
          <w:rPr>
            <w:rStyle w:val="Hyperlink"/>
            <w:color w:val="000000" w:themeColor="text1"/>
          </w:rPr>
          <w:t>Appendix 1</w:t>
        </w:r>
      </w:hyperlink>
      <w:r w:rsidR="00AB497F" w:rsidRPr="00AA77D6">
        <w:t>.</w:t>
      </w:r>
      <w:r w:rsidR="00D4180E">
        <w:t xml:space="preserve"> </w:t>
      </w:r>
      <w:r w:rsidR="00AB497F" w:rsidRPr="00AA77D6">
        <w:t>I</w:t>
      </w:r>
      <w:r w:rsidR="000F6FEB" w:rsidRPr="00AA77D6">
        <w:t xml:space="preserve">n summary, </w:t>
      </w:r>
      <w:r w:rsidR="000F6FEB" w:rsidRPr="00AA77D6">
        <w:rPr>
          <w:rFonts w:eastAsia="Calibri"/>
        </w:rPr>
        <w:t>i</w:t>
      </w:r>
      <w:r w:rsidR="009B5D4E" w:rsidRPr="00AA77D6">
        <w:rPr>
          <w:rFonts w:eastAsia="Calibri"/>
        </w:rPr>
        <w:t>t</w:t>
      </w:r>
      <w:r w:rsidR="00E55EB5" w:rsidRPr="00AA77D6">
        <w:rPr>
          <w:rFonts w:eastAsia="Calibri"/>
        </w:rPr>
        <w:t>s</w:t>
      </w:r>
      <w:r w:rsidR="009B5D4E" w:rsidRPr="00AA77D6">
        <w:rPr>
          <w:rFonts w:eastAsia="Calibri"/>
        </w:rPr>
        <w:t xml:space="preserve"> work </w:t>
      </w:r>
      <w:r w:rsidR="00D121F2" w:rsidRPr="00AA77D6">
        <w:rPr>
          <w:rFonts w:eastAsia="Calibri"/>
        </w:rPr>
        <w:t>include</w:t>
      </w:r>
      <w:r w:rsidR="001D109E" w:rsidRPr="00AA77D6">
        <w:rPr>
          <w:rFonts w:eastAsia="Calibri"/>
        </w:rPr>
        <w:t>d</w:t>
      </w:r>
      <w:r w:rsidR="003747ED" w:rsidRPr="00AA77D6">
        <w:rPr>
          <w:rFonts w:eastAsia="Calibri"/>
        </w:rPr>
        <w:t>:</w:t>
      </w:r>
      <w:r w:rsidRPr="00AA77D6">
        <w:rPr>
          <w:rFonts w:eastAsia="Calibri"/>
        </w:rPr>
        <w:t xml:space="preserve"> </w:t>
      </w:r>
    </w:p>
    <w:p w14:paraId="7EB37709" w14:textId="4F63E3D6" w:rsidR="009823A2" w:rsidRPr="00AA77D6" w:rsidRDefault="009823A2" w:rsidP="00C21E5F">
      <w:pPr>
        <w:pStyle w:val="ListParagraph"/>
        <w:numPr>
          <w:ilvl w:val="0"/>
          <w:numId w:val="3"/>
        </w:numPr>
        <w:jc w:val="both"/>
        <w:rPr>
          <w:color w:val="000000" w:themeColor="text1"/>
        </w:rPr>
      </w:pPr>
      <w:r w:rsidRPr="00AA77D6">
        <w:rPr>
          <w:color w:val="000000" w:themeColor="text1"/>
        </w:rPr>
        <w:t>Advising the Executive</w:t>
      </w:r>
      <w:r w:rsidR="00996806" w:rsidRPr="00AA77D6">
        <w:rPr>
          <w:color w:val="000000" w:themeColor="text1"/>
        </w:rPr>
        <w:t xml:space="preserve"> on matters of strategy, including planning, and evaluating </w:t>
      </w:r>
      <w:r w:rsidR="006E2DE6" w:rsidRPr="00AA77D6">
        <w:rPr>
          <w:color w:val="000000" w:themeColor="text1"/>
        </w:rPr>
        <w:t>performance against the strategic priorities</w:t>
      </w:r>
      <w:r w:rsidR="00645007" w:rsidRPr="00AA77D6">
        <w:rPr>
          <w:color w:val="000000" w:themeColor="text1"/>
        </w:rPr>
        <w:t xml:space="preserve"> through </w:t>
      </w:r>
      <w:r w:rsidR="008F08CC" w:rsidRPr="00AA77D6">
        <w:rPr>
          <w:color w:val="000000" w:themeColor="text1"/>
        </w:rPr>
        <w:t>measures of success and key performance indicators.</w:t>
      </w:r>
    </w:p>
    <w:p w14:paraId="6D495050" w14:textId="47BBEFE6" w:rsidR="006E2DE6" w:rsidRPr="00AA77D6" w:rsidRDefault="00650B10" w:rsidP="00C21E5F">
      <w:pPr>
        <w:pStyle w:val="ListParagraph"/>
        <w:numPr>
          <w:ilvl w:val="0"/>
          <w:numId w:val="3"/>
        </w:numPr>
        <w:jc w:val="both"/>
        <w:rPr>
          <w:color w:val="000000" w:themeColor="text1"/>
        </w:rPr>
      </w:pPr>
      <w:r w:rsidRPr="00AA77D6">
        <w:rPr>
          <w:color w:val="000000" w:themeColor="text1"/>
        </w:rPr>
        <w:t>Development of, and assessment of progress against, the Fee and Access Plan.</w:t>
      </w:r>
    </w:p>
    <w:p w14:paraId="646267B7" w14:textId="73306F47" w:rsidR="00650B10" w:rsidRPr="00AA77D6" w:rsidRDefault="000536B5" w:rsidP="00C21E5F">
      <w:pPr>
        <w:pStyle w:val="ListParagraph"/>
        <w:numPr>
          <w:ilvl w:val="0"/>
          <w:numId w:val="3"/>
        </w:numPr>
        <w:jc w:val="both"/>
        <w:rPr>
          <w:color w:val="000000" w:themeColor="text1"/>
        </w:rPr>
      </w:pPr>
      <w:r w:rsidRPr="00AA77D6">
        <w:rPr>
          <w:color w:val="000000" w:themeColor="text1"/>
        </w:rPr>
        <w:t xml:space="preserve">Reviewing the University’s performance </w:t>
      </w:r>
      <w:r w:rsidR="00335164" w:rsidRPr="00AA77D6">
        <w:rPr>
          <w:color w:val="000000" w:themeColor="text1"/>
        </w:rPr>
        <w:t xml:space="preserve">in: the Research Excellence Framework, Academic Quality Assurance, and </w:t>
      </w:r>
      <w:r w:rsidR="00497127" w:rsidRPr="00AA77D6">
        <w:rPr>
          <w:color w:val="000000" w:themeColor="text1"/>
        </w:rPr>
        <w:t xml:space="preserve">key </w:t>
      </w:r>
      <w:r w:rsidR="008F08CC" w:rsidRPr="00AA77D6">
        <w:rPr>
          <w:color w:val="000000" w:themeColor="text1"/>
        </w:rPr>
        <w:t xml:space="preserve">league </w:t>
      </w:r>
      <w:r w:rsidR="00497127" w:rsidRPr="00AA77D6">
        <w:rPr>
          <w:color w:val="000000" w:themeColor="text1"/>
        </w:rPr>
        <w:t>tables and surveys.</w:t>
      </w:r>
    </w:p>
    <w:p w14:paraId="634E27D0" w14:textId="1B6DBFA7" w:rsidR="001D109E" w:rsidRPr="00AA77D6" w:rsidRDefault="003B6519" w:rsidP="00C21E5F">
      <w:pPr>
        <w:pStyle w:val="ListParagraph"/>
        <w:numPr>
          <w:ilvl w:val="0"/>
          <w:numId w:val="3"/>
        </w:numPr>
        <w:jc w:val="both"/>
        <w:rPr>
          <w:color w:val="000000" w:themeColor="text1"/>
        </w:rPr>
      </w:pPr>
      <w:r w:rsidRPr="00AA77D6">
        <w:rPr>
          <w:color w:val="000000" w:themeColor="text1"/>
        </w:rPr>
        <w:t xml:space="preserve">Assessment of the impact of </w:t>
      </w:r>
      <w:r w:rsidR="00645007" w:rsidRPr="00AA77D6">
        <w:rPr>
          <w:color w:val="000000" w:themeColor="text1"/>
        </w:rPr>
        <w:t>external changes through horizon scanning.</w:t>
      </w:r>
    </w:p>
    <w:p w14:paraId="548FBA5C" w14:textId="60DE68F0" w:rsidR="00492114" w:rsidRPr="00AA77D6" w:rsidRDefault="00492114" w:rsidP="00D4180E">
      <w:pPr>
        <w:jc w:val="both"/>
      </w:pPr>
      <w:r w:rsidRPr="00AA77D6">
        <w:rPr>
          <w:u w:val="single"/>
        </w:rPr>
        <w:t>Membership</w:t>
      </w:r>
    </w:p>
    <w:p w14:paraId="3BDF779F" w14:textId="6BE807D4" w:rsidR="00131BC4" w:rsidRPr="00AA77D6" w:rsidRDefault="00DC07B0" w:rsidP="00D4180E">
      <w:pPr>
        <w:jc w:val="both"/>
      </w:pPr>
      <w:r w:rsidRPr="00AA77D6">
        <w:t>M</w:t>
      </w:r>
      <w:r w:rsidR="00CA4151" w:rsidRPr="00AA77D6">
        <w:t>embership of the Committee for the Academic Year 202</w:t>
      </w:r>
      <w:r w:rsidR="003A51CE">
        <w:t>2</w:t>
      </w:r>
      <w:r w:rsidR="00CA4151" w:rsidRPr="00AA77D6">
        <w:t>/2</w:t>
      </w:r>
      <w:r w:rsidR="003A51CE">
        <w:t>3</w:t>
      </w:r>
      <w:r w:rsidR="00CA4151" w:rsidRPr="00AA77D6">
        <w:t xml:space="preserve"> was as follows: </w:t>
      </w:r>
    </w:p>
    <w:p w14:paraId="46B30C0C" w14:textId="3F8E50BE" w:rsidR="00F94351" w:rsidRDefault="00EA7C39" w:rsidP="00C21E5F">
      <w:pPr>
        <w:pStyle w:val="ListParagraph"/>
        <w:numPr>
          <w:ilvl w:val="0"/>
          <w:numId w:val="4"/>
        </w:numPr>
        <w:jc w:val="both"/>
        <w:rPr>
          <w:color w:val="000000" w:themeColor="text1"/>
        </w:rPr>
      </w:pPr>
      <w:r w:rsidRPr="00AA77D6">
        <w:rPr>
          <w:color w:val="000000" w:themeColor="text1"/>
        </w:rPr>
        <w:t>John Taylor</w:t>
      </w:r>
      <w:r w:rsidR="00F5142F" w:rsidRPr="00AA77D6">
        <w:rPr>
          <w:color w:val="000000" w:themeColor="text1"/>
        </w:rPr>
        <w:t xml:space="preserve"> </w:t>
      </w:r>
      <w:r w:rsidR="00CA4151" w:rsidRPr="00AA77D6">
        <w:rPr>
          <w:color w:val="000000" w:themeColor="text1"/>
        </w:rPr>
        <w:t>(Chair and</w:t>
      </w:r>
      <w:r w:rsidR="004E37D7">
        <w:rPr>
          <w:color w:val="000000" w:themeColor="text1"/>
        </w:rPr>
        <w:t xml:space="preserve"> </w:t>
      </w:r>
      <w:r w:rsidR="00F56A1C">
        <w:rPr>
          <w:color w:val="000000" w:themeColor="text1"/>
        </w:rPr>
        <w:t>Independent Governor</w:t>
      </w:r>
      <w:r w:rsidR="00CA4151" w:rsidRPr="00AA77D6">
        <w:rPr>
          <w:color w:val="000000" w:themeColor="text1"/>
        </w:rPr>
        <w:t>)</w:t>
      </w:r>
    </w:p>
    <w:p w14:paraId="702989EC" w14:textId="6D0CD92C" w:rsidR="00DE56D3" w:rsidRPr="00AA77D6" w:rsidRDefault="00DE56D3" w:rsidP="00C21E5F">
      <w:pPr>
        <w:pStyle w:val="ListParagraph"/>
        <w:numPr>
          <w:ilvl w:val="0"/>
          <w:numId w:val="4"/>
        </w:numPr>
        <w:jc w:val="both"/>
        <w:rPr>
          <w:color w:val="000000" w:themeColor="text1"/>
        </w:rPr>
      </w:pPr>
      <w:r>
        <w:rPr>
          <w:color w:val="000000" w:themeColor="text1"/>
        </w:rPr>
        <w:t>Professor Cara Aitchison (</w:t>
      </w:r>
      <w:r w:rsidR="00235C06">
        <w:rPr>
          <w:color w:val="000000" w:themeColor="text1"/>
        </w:rPr>
        <w:t>President and Vice Chancellor)</w:t>
      </w:r>
    </w:p>
    <w:p w14:paraId="7D16F643" w14:textId="668690FE" w:rsidR="00EA7C39" w:rsidRPr="00AA77D6" w:rsidRDefault="00EA7C39" w:rsidP="00C21E5F">
      <w:pPr>
        <w:pStyle w:val="ListParagraph"/>
        <w:numPr>
          <w:ilvl w:val="0"/>
          <w:numId w:val="4"/>
        </w:numPr>
        <w:jc w:val="both"/>
        <w:rPr>
          <w:color w:val="000000" w:themeColor="text1"/>
        </w:rPr>
      </w:pPr>
      <w:r w:rsidRPr="00AA77D6">
        <w:rPr>
          <w:color w:val="000000" w:themeColor="text1"/>
        </w:rPr>
        <w:t>Nick Capaldi (Independent Governor)</w:t>
      </w:r>
    </w:p>
    <w:p w14:paraId="53C77642" w14:textId="45BC546F" w:rsidR="00EA7C39" w:rsidRDefault="00E82BEF" w:rsidP="00C21E5F">
      <w:pPr>
        <w:pStyle w:val="ListParagraph"/>
        <w:numPr>
          <w:ilvl w:val="0"/>
          <w:numId w:val="4"/>
        </w:numPr>
        <w:jc w:val="both"/>
        <w:rPr>
          <w:color w:val="000000" w:themeColor="text1"/>
        </w:rPr>
      </w:pPr>
      <w:r w:rsidRPr="00AA77D6">
        <w:rPr>
          <w:color w:val="000000" w:themeColor="text1"/>
        </w:rPr>
        <w:t>Roísín Connolly (Independent Governor)</w:t>
      </w:r>
    </w:p>
    <w:p w14:paraId="6500087A" w14:textId="1CCB08D4" w:rsidR="00235C06" w:rsidRPr="00AA77D6" w:rsidRDefault="00235C06" w:rsidP="00C21E5F">
      <w:pPr>
        <w:pStyle w:val="ListParagraph"/>
        <w:numPr>
          <w:ilvl w:val="0"/>
          <w:numId w:val="4"/>
        </w:numPr>
        <w:jc w:val="both"/>
        <w:rPr>
          <w:color w:val="000000" w:themeColor="text1"/>
        </w:rPr>
      </w:pPr>
      <w:r>
        <w:rPr>
          <w:color w:val="000000" w:themeColor="text1"/>
        </w:rPr>
        <w:t>Venky Gonavaram (Student Governor)</w:t>
      </w:r>
    </w:p>
    <w:p w14:paraId="1A744EC2" w14:textId="719527A9" w:rsidR="00E82BEF" w:rsidRPr="00AA77D6" w:rsidRDefault="004C698B" w:rsidP="00C21E5F">
      <w:pPr>
        <w:pStyle w:val="ListParagraph"/>
        <w:numPr>
          <w:ilvl w:val="0"/>
          <w:numId w:val="4"/>
        </w:numPr>
        <w:jc w:val="both"/>
        <w:rPr>
          <w:color w:val="000000" w:themeColor="text1"/>
        </w:rPr>
      </w:pPr>
      <w:r w:rsidRPr="00AA77D6">
        <w:rPr>
          <w:color w:val="000000" w:themeColor="text1"/>
        </w:rPr>
        <w:t>Paul Matthews (Independent Governor)</w:t>
      </w:r>
    </w:p>
    <w:p w14:paraId="0E0EDC55" w14:textId="06E9809E" w:rsidR="004C698B" w:rsidRPr="00AA77D6" w:rsidRDefault="00B10C12" w:rsidP="00C21E5F">
      <w:pPr>
        <w:pStyle w:val="ListParagraph"/>
        <w:numPr>
          <w:ilvl w:val="0"/>
          <w:numId w:val="4"/>
        </w:numPr>
        <w:jc w:val="both"/>
        <w:rPr>
          <w:color w:val="000000" w:themeColor="text1"/>
        </w:rPr>
      </w:pPr>
      <w:r>
        <w:rPr>
          <w:color w:val="000000" w:themeColor="text1"/>
        </w:rPr>
        <w:t xml:space="preserve">Professor </w:t>
      </w:r>
      <w:r w:rsidR="003A51CE">
        <w:rPr>
          <w:color w:val="000000" w:themeColor="text1"/>
        </w:rPr>
        <w:t>Myra Nimmo (Independent Governor) (til June 2023)</w:t>
      </w:r>
    </w:p>
    <w:p w14:paraId="21F3891C" w14:textId="6C6DFC22" w:rsidR="00D4180E" w:rsidRPr="00D4180E" w:rsidRDefault="004C698B" w:rsidP="00C21E5F">
      <w:pPr>
        <w:pStyle w:val="ListParagraph"/>
        <w:numPr>
          <w:ilvl w:val="0"/>
          <w:numId w:val="4"/>
        </w:numPr>
        <w:jc w:val="both"/>
        <w:rPr>
          <w:color w:val="000000" w:themeColor="text1"/>
        </w:rPr>
      </w:pPr>
      <w:r w:rsidRPr="00AA77D6">
        <w:rPr>
          <w:color w:val="000000" w:themeColor="text1"/>
        </w:rPr>
        <w:t>Dr Christopher Turner (Independent Governor)</w:t>
      </w:r>
    </w:p>
    <w:p w14:paraId="2889D78D" w14:textId="40B35321" w:rsidR="00D116FD" w:rsidRPr="00AA77D6" w:rsidRDefault="001D496D" w:rsidP="00D4180E">
      <w:pPr>
        <w:jc w:val="both"/>
      </w:pPr>
      <w:r w:rsidRPr="00AA77D6">
        <w:rPr>
          <w:u w:val="single"/>
        </w:rPr>
        <w:t>Meetings</w:t>
      </w:r>
    </w:p>
    <w:p w14:paraId="53503370" w14:textId="6AC8615A" w:rsidR="001D496D" w:rsidRPr="00AA77D6" w:rsidRDefault="003A51CE" w:rsidP="00D4180E">
      <w:pPr>
        <w:jc w:val="both"/>
      </w:pPr>
      <w:r>
        <w:t>Five</w:t>
      </w:r>
      <w:r w:rsidR="001D496D" w:rsidRPr="00AA77D6">
        <w:t xml:space="preserve"> </w:t>
      </w:r>
      <w:r w:rsidR="00993D14" w:rsidRPr="00AA77D6">
        <w:t>m</w:t>
      </w:r>
      <w:r w:rsidR="001D496D" w:rsidRPr="00AA77D6">
        <w:t>eetings were held during the 202</w:t>
      </w:r>
      <w:r>
        <w:t>2</w:t>
      </w:r>
      <w:r w:rsidR="001D496D" w:rsidRPr="00AA77D6">
        <w:t>/202</w:t>
      </w:r>
      <w:r>
        <w:t>3</w:t>
      </w:r>
      <w:r w:rsidR="001D496D" w:rsidRPr="00AA77D6">
        <w:t xml:space="preserve"> Academic Year:</w:t>
      </w:r>
    </w:p>
    <w:p w14:paraId="1DB7116D" w14:textId="01E79B47" w:rsidR="00993D14" w:rsidRPr="00AA77D6" w:rsidRDefault="003A51CE" w:rsidP="00C21E5F">
      <w:pPr>
        <w:pStyle w:val="ListParagraph"/>
        <w:numPr>
          <w:ilvl w:val="0"/>
          <w:numId w:val="5"/>
        </w:numPr>
        <w:jc w:val="both"/>
        <w:rPr>
          <w:color w:val="000000" w:themeColor="text1"/>
        </w:rPr>
      </w:pPr>
      <w:r>
        <w:rPr>
          <w:color w:val="000000" w:themeColor="text1"/>
        </w:rPr>
        <w:t>30 November 2022</w:t>
      </w:r>
    </w:p>
    <w:p w14:paraId="5B9210B0" w14:textId="292ED834" w:rsidR="00F871C2" w:rsidRDefault="003A51CE" w:rsidP="00C21E5F">
      <w:pPr>
        <w:pStyle w:val="ListParagraph"/>
        <w:numPr>
          <w:ilvl w:val="0"/>
          <w:numId w:val="5"/>
        </w:numPr>
        <w:jc w:val="both"/>
        <w:rPr>
          <w:color w:val="000000" w:themeColor="text1"/>
        </w:rPr>
      </w:pPr>
      <w:r>
        <w:rPr>
          <w:color w:val="000000" w:themeColor="text1"/>
        </w:rPr>
        <w:t>19 January 2023</w:t>
      </w:r>
    </w:p>
    <w:p w14:paraId="127A038D" w14:textId="3BB08121" w:rsidR="003A51CE" w:rsidRDefault="003A51CE" w:rsidP="00C21E5F">
      <w:pPr>
        <w:pStyle w:val="ListParagraph"/>
        <w:numPr>
          <w:ilvl w:val="0"/>
          <w:numId w:val="5"/>
        </w:numPr>
        <w:jc w:val="both"/>
        <w:rPr>
          <w:color w:val="000000" w:themeColor="text1"/>
        </w:rPr>
      </w:pPr>
      <w:r>
        <w:rPr>
          <w:color w:val="000000" w:themeColor="text1"/>
        </w:rPr>
        <w:t>09 March 2023</w:t>
      </w:r>
    </w:p>
    <w:p w14:paraId="7FEB2672" w14:textId="741ECC5B" w:rsidR="003A51CE" w:rsidRDefault="003A51CE" w:rsidP="00C21E5F">
      <w:pPr>
        <w:pStyle w:val="ListParagraph"/>
        <w:numPr>
          <w:ilvl w:val="0"/>
          <w:numId w:val="5"/>
        </w:numPr>
        <w:jc w:val="both"/>
        <w:rPr>
          <w:color w:val="000000" w:themeColor="text1"/>
        </w:rPr>
      </w:pPr>
      <w:r>
        <w:rPr>
          <w:color w:val="000000" w:themeColor="text1"/>
        </w:rPr>
        <w:t>20 April 2023</w:t>
      </w:r>
    </w:p>
    <w:p w14:paraId="045BA38B" w14:textId="51FC226A" w:rsidR="003A51CE" w:rsidRPr="00D4180E" w:rsidRDefault="003A51CE" w:rsidP="00C21E5F">
      <w:pPr>
        <w:pStyle w:val="ListParagraph"/>
        <w:numPr>
          <w:ilvl w:val="0"/>
          <w:numId w:val="5"/>
        </w:numPr>
        <w:jc w:val="both"/>
        <w:rPr>
          <w:color w:val="000000" w:themeColor="text1"/>
        </w:rPr>
      </w:pPr>
      <w:r>
        <w:rPr>
          <w:color w:val="000000" w:themeColor="text1"/>
        </w:rPr>
        <w:t>15 June 2023</w:t>
      </w:r>
    </w:p>
    <w:p w14:paraId="27F793BB" w14:textId="202FADB2" w:rsidR="00460F24" w:rsidRPr="00AA77D6" w:rsidRDefault="00FA4FF4" w:rsidP="00D4180E">
      <w:pPr>
        <w:jc w:val="both"/>
      </w:pPr>
      <w:r w:rsidRPr="00AA77D6">
        <w:lastRenderedPageBreak/>
        <w:t>T</w:t>
      </w:r>
      <w:r w:rsidR="00A37763" w:rsidRPr="00AA77D6">
        <w:t xml:space="preserve">he </w:t>
      </w:r>
      <w:r w:rsidR="006D70E7" w:rsidRPr="00AA77D6">
        <w:t>Committee</w:t>
      </w:r>
      <w:r w:rsidR="00A37763" w:rsidRPr="00AA77D6">
        <w:t xml:space="preserve"> provide</w:t>
      </w:r>
      <w:r w:rsidR="0097314F" w:rsidRPr="00AA77D6">
        <w:t>d</w:t>
      </w:r>
      <w:r w:rsidR="00A37763" w:rsidRPr="00AA77D6">
        <w:t xml:space="preserve"> a s</w:t>
      </w:r>
      <w:r w:rsidR="006D70E7" w:rsidRPr="00AA77D6">
        <w:t xml:space="preserve">ummary </w:t>
      </w:r>
      <w:r w:rsidR="00A37763" w:rsidRPr="00AA77D6">
        <w:t>r</w:t>
      </w:r>
      <w:r w:rsidR="006D70E7" w:rsidRPr="00AA77D6">
        <w:t xml:space="preserve">eport </w:t>
      </w:r>
      <w:r w:rsidR="00A37763" w:rsidRPr="00AA77D6">
        <w:t xml:space="preserve">to the Board </w:t>
      </w:r>
      <w:r w:rsidR="009B5FE3">
        <w:t xml:space="preserve">of Governors </w:t>
      </w:r>
      <w:r w:rsidR="0056566A" w:rsidRPr="00AA77D6">
        <w:t xml:space="preserve">following </w:t>
      </w:r>
      <w:r w:rsidR="0036559F" w:rsidRPr="00AA77D6">
        <w:t xml:space="preserve">each </w:t>
      </w:r>
      <w:r w:rsidR="006D70E7" w:rsidRPr="00AA77D6">
        <w:t>meeting.</w:t>
      </w:r>
      <w:r w:rsidR="00B63EE9">
        <w:t xml:space="preserve"> </w:t>
      </w:r>
    </w:p>
    <w:p w14:paraId="71418D1E" w14:textId="77777777" w:rsidR="00D37563" w:rsidRPr="00AA77D6" w:rsidRDefault="00D37563" w:rsidP="00460F24"/>
    <w:p w14:paraId="364A7AA0" w14:textId="0DE459FD" w:rsidR="003B24B0" w:rsidRPr="00D4180E" w:rsidRDefault="003B24B0" w:rsidP="00691E76">
      <w:pPr>
        <w:pStyle w:val="Heading1"/>
      </w:pPr>
      <w:r w:rsidRPr="00D4180E">
        <w:t xml:space="preserve">The Committee’s </w:t>
      </w:r>
      <w:r w:rsidR="00DA3526" w:rsidRPr="00D4180E">
        <w:t>W</w:t>
      </w:r>
      <w:r w:rsidRPr="00D4180E">
        <w:t xml:space="preserve">ork </w:t>
      </w:r>
      <w:r w:rsidR="00DA3526" w:rsidRPr="00D4180E">
        <w:t>D</w:t>
      </w:r>
      <w:r w:rsidRPr="00D4180E">
        <w:t>uring 202</w:t>
      </w:r>
      <w:r w:rsidR="003A51CE">
        <w:t>2/</w:t>
      </w:r>
      <w:r w:rsidRPr="00D4180E">
        <w:t>2</w:t>
      </w:r>
      <w:r w:rsidR="003A51CE">
        <w:t>3</w:t>
      </w:r>
    </w:p>
    <w:p w14:paraId="1B7F8CF1" w14:textId="6455EDB4" w:rsidR="00E479E7" w:rsidRDefault="00C92260" w:rsidP="00310C9A">
      <w:r w:rsidRPr="00C92260">
        <w:t>Due to the sustained effectiveness of online meetings, it was decided that the work of the Board’s Committees would continue to be carried out virtually, whilst meetings of the full Board took place in-person.   </w:t>
      </w:r>
    </w:p>
    <w:p w14:paraId="1F127B44" w14:textId="77777777" w:rsidR="00C92260" w:rsidRPr="00AA77D6" w:rsidRDefault="00C92260" w:rsidP="00310C9A"/>
    <w:p w14:paraId="7EA9522B" w14:textId="53977510" w:rsidR="00FD7C25" w:rsidRPr="00D4180E" w:rsidRDefault="00036F13" w:rsidP="00691E76">
      <w:pPr>
        <w:pStyle w:val="Heading1"/>
      </w:pPr>
      <w:r w:rsidRPr="00D4180E">
        <w:t>Strategy</w:t>
      </w:r>
      <w:r w:rsidR="000D4A74" w:rsidRPr="00D4180E">
        <w:t xml:space="preserve"> </w:t>
      </w:r>
    </w:p>
    <w:p w14:paraId="35185C0F" w14:textId="594F55B2" w:rsidR="00FA1B3B" w:rsidRPr="00FA1B3B" w:rsidRDefault="00FA1B3B" w:rsidP="00D4180E">
      <w:pPr>
        <w:jc w:val="both"/>
        <w:rPr>
          <w:u w:val="single"/>
          <w:lang w:eastAsia="en-US"/>
        </w:rPr>
      </w:pPr>
      <w:r>
        <w:rPr>
          <w:u w:val="single"/>
          <w:lang w:eastAsia="en-US"/>
        </w:rPr>
        <w:t>Thematic &amp; Enabling Strategies</w:t>
      </w:r>
    </w:p>
    <w:p w14:paraId="6B2B3899" w14:textId="6AB2E32F" w:rsidR="00C83852" w:rsidRDefault="00C83852" w:rsidP="00D4180E">
      <w:pPr>
        <w:jc w:val="both"/>
        <w:rPr>
          <w:lang w:eastAsia="en-US"/>
        </w:rPr>
      </w:pPr>
      <w:r>
        <w:rPr>
          <w:lang w:eastAsia="en-US"/>
        </w:rPr>
        <w:t>Following final approval of Strategy 2030 in July 2022 by the Board of Governors, the University b</w:t>
      </w:r>
      <w:r w:rsidR="00686171">
        <w:rPr>
          <w:lang w:eastAsia="en-US"/>
        </w:rPr>
        <w:t>egan development on the Thematic and Enabling Strategies</w:t>
      </w:r>
      <w:r w:rsidR="00326AE2">
        <w:rPr>
          <w:lang w:eastAsia="en-US"/>
        </w:rPr>
        <w:t xml:space="preserve"> – </w:t>
      </w:r>
    </w:p>
    <w:p w14:paraId="1D7B1DF4" w14:textId="1E5F2FB7" w:rsidR="00326AE2" w:rsidRDefault="00B9626A" w:rsidP="00C21E5F">
      <w:pPr>
        <w:pStyle w:val="ListParagraph"/>
        <w:numPr>
          <w:ilvl w:val="0"/>
          <w:numId w:val="14"/>
        </w:numPr>
        <w:jc w:val="both"/>
        <w:rPr>
          <w:color w:val="000000" w:themeColor="text1"/>
        </w:rPr>
      </w:pPr>
      <w:r w:rsidRPr="00326AE2">
        <w:rPr>
          <w:color w:val="000000" w:themeColor="text1"/>
        </w:rPr>
        <w:t>Thematic Strategies:</w:t>
      </w:r>
      <w:r w:rsidR="009D0AF6" w:rsidRPr="00326AE2">
        <w:rPr>
          <w:color w:val="000000" w:themeColor="text1"/>
        </w:rPr>
        <w:t xml:space="preserve"> Learning, Teaching, &amp; Student Engagement; Research &amp; Innovation; Global Engagement; and Civic Mission.</w:t>
      </w:r>
      <w:r w:rsidR="00B07179" w:rsidRPr="00326AE2">
        <w:rPr>
          <w:color w:val="000000" w:themeColor="text1"/>
        </w:rPr>
        <w:t xml:space="preserve"> </w:t>
      </w:r>
    </w:p>
    <w:p w14:paraId="4DDACD3D" w14:textId="27DAE6E6" w:rsidR="00B9626A" w:rsidRPr="00326AE2" w:rsidRDefault="00B9626A" w:rsidP="00C21E5F">
      <w:pPr>
        <w:pStyle w:val="ListParagraph"/>
        <w:numPr>
          <w:ilvl w:val="0"/>
          <w:numId w:val="14"/>
        </w:numPr>
        <w:jc w:val="both"/>
        <w:rPr>
          <w:color w:val="000000" w:themeColor="text1"/>
        </w:rPr>
      </w:pPr>
      <w:r w:rsidRPr="00326AE2">
        <w:rPr>
          <w:color w:val="000000" w:themeColor="text1"/>
        </w:rPr>
        <w:t>Enabling Strategies:</w:t>
      </w:r>
      <w:r w:rsidR="009D0AF6" w:rsidRPr="00326AE2">
        <w:rPr>
          <w:color w:val="000000" w:themeColor="text1"/>
        </w:rPr>
        <w:t xml:space="preserve"> </w:t>
      </w:r>
      <w:r w:rsidR="00FC0E89" w:rsidRPr="00326AE2">
        <w:rPr>
          <w:color w:val="000000" w:themeColor="text1"/>
        </w:rPr>
        <w:t>Finance; Estate; People; &amp; Digital.</w:t>
      </w:r>
    </w:p>
    <w:p w14:paraId="47D384AC" w14:textId="1A4213A6" w:rsidR="00326AE2" w:rsidRDefault="009252FB" w:rsidP="00D4180E">
      <w:pPr>
        <w:jc w:val="both"/>
        <w:rPr>
          <w:lang w:eastAsia="en-US"/>
        </w:rPr>
      </w:pPr>
      <w:r>
        <w:rPr>
          <w:lang w:eastAsia="en-US"/>
        </w:rPr>
        <w:t xml:space="preserve">Working Groups were convened to develop the sub-strategies in detail. </w:t>
      </w:r>
    </w:p>
    <w:p w14:paraId="5F579749" w14:textId="25B75921" w:rsidR="00DD06AE" w:rsidRDefault="00034D88" w:rsidP="002B766E">
      <w:pPr>
        <w:jc w:val="both"/>
        <w:rPr>
          <w:lang w:eastAsia="en-US"/>
        </w:rPr>
      </w:pPr>
      <w:r>
        <w:rPr>
          <w:lang w:eastAsia="en-US"/>
        </w:rPr>
        <w:t>The University’s sub-strategies will involve significant investment and resources, and therefore the Committee had an integral role in ensuring the sub-strategies aligned with the University’s overall strategic direction, as well as reviewing how they would be presented to the University’s stakeholders.</w:t>
      </w:r>
    </w:p>
    <w:p w14:paraId="74E26886" w14:textId="37BE7382" w:rsidR="002B766E" w:rsidRDefault="002B766E" w:rsidP="002B766E">
      <w:pPr>
        <w:jc w:val="both"/>
        <w:rPr>
          <w:lang w:eastAsia="en-US"/>
        </w:rPr>
      </w:pPr>
      <w:r>
        <w:rPr>
          <w:lang w:eastAsia="en-US"/>
        </w:rPr>
        <w:t xml:space="preserve">The Thematic and Enabling Strategies were subsequently approved by the Board of Governors </w:t>
      </w:r>
      <w:r w:rsidR="00C14EB2">
        <w:rPr>
          <w:lang w:eastAsia="en-US"/>
        </w:rPr>
        <w:t>at its meeting on 06 July 2023.</w:t>
      </w:r>
    </w:p>
    <w:p w14:paraId="329C303F" w14:textId="77777777" w:rsidR="00BE6D20" w:rsidRPr="002B766E" w:rsidRDefault="00BE6D20" w:rsidP="002B766E">
      <w:pPr>
        <w:jc w:val="both"/>
        <w:rPr>
          <w:lang w:eastAsia="en-US"/>
        </w:rPr>
      </w:pPr>
    </w:p>
    <w:p w14:paraId="41ECFBE1" w14:textId="23E66614" w:rsidR="00FA1B3B" w:rsidRPr="00FA1B3B" w:rsidRDefault="00FA1B3B" w:rsidP="00D4180E">
      <w:pPr>
        <w:jc w:val="both"/>
        <w:rPr>
          <w:u w:val="single"/>
          <w:lang w:eastAsia="en-US"/>
        </w:rPr>
      </w:pPr>
      <w:r>
        <w:rPr>
          <w:u w:val="single"/>
          <w:lang w:eastAsia="en-US"/>
        </w:rPr>
        <w:t>Measures of Success</w:t>
      </w:r>
    </w:p>
    <w:p w14:paraId="306D820A" w14:textId="14E53744" w:rsidR="007664EF" w:rsidRPr="00D70648" w:rsidRDefault="002222CF" w:rsidP="007664EF">
      <w:pPr>
        <w:jc w:val="both"/>
        <w:rPr>
          <w:lang w:eastAsia="en-US"/>
        </w:rPr>
      </w:pPr>
      <w:r>
        <w:rPr>
          <w:lang w:eastAsia="en-US"/>
        </w:rPr>
        <w:t>In support of the University’s strategic mission, the Committee played a significant role in the development and approval of the proposed Measures of Success (Key Performance Indicators).</w:t>
      </w:r>
      <w:r w:rsidR="00F84ECB">
        <w:rPr>
          <w:lang w:eastAsia="en-US"/>
        </w:rPr>
        <w:t xml:space="preserve"> These Measures are vital in tracking progress towards the goals of Strategy 2030</w:t>
      </w:r>
      <w:r w:rsidR="00002F83">
        <w:rPr>
          <w:lang w:eastAsia="en-US"/>
        </w:rPr>
        <w:t xml:space="preserve">, providing </w:t>
      </w:r>
      <w:r w:rsidR="00002F83" w:rsidRPr="00D70648">
        <w:rPr>
          <w:lang w:eastAsia="en-US"/>
        </w:rPr>
        <w:t xml:space="preserve">valuable insight </w:t>
      </w:r>
      <w:r w:rsidR="00A5065B" w:rsidRPr="00D70648">
        <w:rPr>
          <w:lang w:eastAsia="en-US"/>
        </w:rPr>
        <w:t xml:space="preserve">into </w:t>
      </w:r>
      <w:r w:rsidR="008C1C3E" w:rsidRPr="00D70648">
        <w:rPr>
          <w:lang w:eastAsia="en-US"/>
        </w:rPr>
        <w:t>areas that could be improved</w:t>
      </w:r>
      <w:r w:rsidR="00226F57" w:rsidRPr="00D70648">
        <w:rPr>
          <w:lang w:eastAsia="en-US"/>
        </w:rPr>
        <w:t>, and leading to data-driven decision-making</w:t>
      </w:r>
      <w:r w:rsidR="00546821" w:rsidRPr="00D70648">
        <w:rPr>
          <w:lang w:eastAsia="en-US"/>
        </w:rPr>
        <w:t xml:space="preserve">. </w:t>
      </w:r>
      <w:r w:rsidR="007664EF" w:rsidRPr="00D70648">
        <w:rPr>
          <w:lang w:eastAsia="en-US"/>
        </w:rPr>
        <w:t xml:space="preserve">The </w:t>
      </w:r>
      <w:r w:rsidR="00D70648" w:rsidRPr="00D70648">
        <w:rPr>
          <w:lang w:eastAsia="en-US"/>
        </w:rPr>
        <w:t xml:space="preserve">agreed </w:t>
      </w:r>
      <w:r w:rsidR="00B54C77" w:rsidRPr="00D70648">
        <w:rPr>
          <w:lang w:eastAsia="en-US"/>
        </w:rPr>
        <w:t xml:space="preserve">Measures </w:t>
      </w:r>
      <w:r w:rsidR="007664EF" w:rsidRPr="00D70648">
        <w:rPr>
          <w:lang w:eastAsia="en-US"/>
        </w:rPr>
        <w:t xml:space="preserve">fell into the following categories:  </w:t>
      </w:r>
    </w:p>
    <w:p w14:paraId="5387A8A0" w14:textId="77777777" w:rsidR="006E0206" w:rsidRPr="006E0206" w:rsidRDefault="006E0206" w:rsidP="00C21E5F">
      <w:pPr>
        <w:numPr>
          <w:ilvl w:val="0"/>
          <w:numId w:val="15"/>
        </w:numPr>
        <w:jc w:val="both"/>
        <w:rPr>
          <w:lang w:eastAsia="en-US"/>
        </w:rPr>
      </w:pPr>
      <w:r w:rsidRPr="00D70648">
        <w:rPr>
          <w:lang w:eastAsia="en-US"/>
        </w:rPr>
        <w:t>Reputation – of which one target was</w:t>
      </w:r>
      <w:r w:rsidRPr="006E0206">
        <w:rPr>
          <w:lang w:eastAsia="en-US"/>
        </w:rPr>
        <w:t xml:space="preserve"> to improve Cardiff Met’s League Table ranking to become a ‘top 50’ University by 2030. </w:t>
      </w:r>
    </w:p>
    <w:p w14:paraId="165CF01F" w14:textId="77777777" w:rsidR="006E0206" w:rsidRPr="006E0206" w:rsidRDefault="006E0206" w:rsidP="00C21E5F">
      <w:pPr>
        <w:numPr>
          <w:ilvl w:val="0"/>
          <w:numId w:val="15"/>
        </w:numPr>
        <w:jc w:val="both"/>
        <w:rPr>
          <w:lang w:eastAsia="en-US"/>
        </w:rPr>
      </w:pPr>
      <w:r w:rsidRPr="006E0206">
        <w:rPr>
          <w:lang w:eastAsia="en-US"/>
        </w:rPr>
        <w:t>Learning, Teaching and Student Engagement – of which targets include improving retention as well as the National Student Survey Results. </w:t>
      </w:r>
    </w:p>
    <w:p w14:paraId="0674A19E" w14:textId="77777777" w:rsidR="006E0206" w:rsidRPr="006E0206" w:rsidRDefault="006E0206" w:rsidP="00C21E5F">
      <w:pPr>
        <w:numPr>
          <w:ilvl w:val="0"/>
          <w:numId w:val="15"/>
        </w:numPr>
        <w:jc w:val="both"/>
        <w:rPr>
          <w:lang w:eastAsia="en-US"/>
        </w:rPr>
      </w:pPr>
      <w:r w:rsidRPr="006E0206">
        <w:rPr>
          <w:lang w:eastAsia="en-US"/>
        </w:rPr>
        <w:t>Research and Innovation – of which the target in R&amp;I income was to achieve a better balance between the income of the two areas. </w:t>
      </w:r>
    </w:p>
    <w:p w14:paraId="4368E165" w14:textId="77777777" w:rsidR="006E0206" w:rsidRPr="006E0206" w:rsidRDefault="006E0206" w:rsidP="00C21E5F">
      <w:pPr>
        <w:numPr>
          <w:ilvl w:val="0"/>
          <w:numId w:val="15"/>
        </w:numPr>
        <w:jc w:val="both"/>
        <w:rPr>
          <w:lang w:eastAsia="en-US"/>
        </w:rPr>
      </w:pPr>
      <w:r w:rsidRPr="006E0206">
        <w:rPr>
          <w:lang w:eastAsia="en-US"/>
        </w:rPr>
        <w:t>Global Engagement – of which a target was to increase the number of international undergraduate students. </w:t>
      </w:r>
    </w:p>
    <w:p w14:paraId="3E53B89E" w14:textId="13052F54" w:rsidR="00DD06AE" w:rsidRDefault="006E0206" w:rsidP="000017E3">
      <w:pPr>
        <w:numPr>
          <w:ilvl w:val="0"/>
          <w:numId w:val="15"/>
        </w:numPr>
        <w:jc w:val="both"/>
        <w:rPr>
          <w:lang w:eastAsia="en-US"/>
        </w:rPr>
      </w:pPr>
      <w:r w:rsidRPr="006E0206">
        <w:rPr>
          <w:lang w:eastAsia="en-US"/>
        </w:rPr>
        <w:lastRenderedPageBreak/>
        <w:t>Civic Mission – of which targets include increasing the number of Welsh speaking students studying at least 40 credits in Welsh per year, and to stay ahead of the Welsh sector for attracting widening access students. </w:t>
      </w:r>
    </w:p>
    <w:p w14:paraId="18E875F1" w14:textId="77777777" w:rsidR="00BE6D20" w:rsidRPr="006518C3" w:rsidRDefault="00BE6D20" w:rsidP="00BE6D20">
      <w:pPr>
        <w:ind w:left="360"/>
        <w:jc w:val="both"/>
        <w:rPr>
          <w:lang w:eastAsia="en-US"/>
        </w:rPr>
      </w:pPr>
    </w:p>
    <w:p w14:paraId="2C8D705F" w14:textId="1CE76161" w:rsidR="00FA1B3B" w:rsidRDefault="00FA1B3B" w:rsidP="007664EF">
      <w:pPr>
        <w:jc w:val="both"/>
        <w:rPr>
          <w:u w:val="single"/>
        </w:rPr>
      </w:pPr>
      <w:r>
        <w:rPr>
          <w:u w:val="single"/>
        </w:rPr>
        <w:t>Strategic Comparators</w:t>
      </w:r>
    </w:p>
    <w:p w14:paraId="7C18B219" w14:textId="367439BF" w:rsidR="00C91D2A" w:rsidRDefault="00C20C62" w:rsidP="007664EF">
      <w:pPr>
        <w:jc w:val="both"/>
      </w:pPr>
      <w:r>
        <w:t>T</w:t>
      </w:r>
      <w:r w:rsidR="000903C3">
        <w:t xml:space="preserve">o </w:t>
      </w:r>
      <w:r w:rsidR="00236729">
        <w:t xml:space="preserve">ensure the Committee </w:t>
      </w:r>
      <w:r>
        <w:t xml:space="preserve">can benchmark the University’s performance and identify opportunities for improvement, </w:t>
      </w:r>
      <w:r w:rsidR="0055098D">
        <w:t>the development of a list of strategic comparators is essential. Annually, the Committee discusses</w:t>
      </w:r>
      <w:r w:rsidR="00680606">
        <w:t xml:space="preserve"> and reviews</w:t>
      </w:r>
      <w:r w:rsidR="0055098D">
        <w:t xml:space="preserve"> the list </w:t>
      </w:r>
      <w:r w:rsidR="00680606">
        <w:t>of</w:t>
      </w:r>
      <w:r w:rsidR="006022E9">
        <w:t xml:space="preserve"> institutions </w:t>
      </w:r>
      <w:r w:rsidR="001F0369">
        <w:t>to</w:t>
      </w:r>
      <w:r w:rsidR="006022E9">
        <w:t xml:space="preserve"> consider if they are still aspirational or comparable when looking at the journey the University is on. </w:t>
      </w:r>
      <w:r w:rsidR="00674524">
        <w:t xml:space="preserve">This year, the Committee agreed to </w:t>
      </w:r>
      <w:r w:rsidR="00D24F95">
        <w:t>r</w:t>
      </w:r>
      <w:r w:rsidR="00D24F95">
        <w:rPr>
          <w:rFonts w:eastAsiaTheme="minorHAnsi" w:cstheme="minorBidi"/>
          <w:szCs w:val="22"/>
          <w:lang w:eastAsia="en-US"/>
        </w:rPr>
        <w:t xml:space="preserve">evise the list to reflect the University’s </w:t>
      </w:r>
      <w:r w:rsidR="00674524">
        <w:t>ambitions</w:t>
      </w:r>
      <w:r w:rsidR="003C16E7">
        <w:t>.</w:t>
      </w:r>
      <w:r w:rsidR="00674524">
        <w:t xml:space="preserve"> </w:t>
      </w:r>
      <w:r w:rsidR="003C16E7">
        <w:t>T</w:t>
      </w:r>
      <w:r w:rsidR="00E94DAE">
        <w:t xml:space="preserve">he remaining </w:t>
      </w:r>
      <w:r w:rsidR="00E94DAE" w:rsidRPr="00E94DAE">
        <w:rPr>
          <w:lang w:val="en-US"/>
        </w:rPr>
        <w:t xml:space="preserve">institutions represented universities that Cardiff Met had ambitions to be like, </w:t>
      </w:r>
      <w:r w:rsidR="00E94DAE">
        <w:rPr>
          <w:lang w:val="en-US"/>
        </w:rPr>
        <w:t>with reference to</w:t>
      </w:r>
      <w:r w:rsidR="00E94DAE" w:rsidRPr="00E94DAE">
        <w:rPr>
          <w:lang w:val="en-US"/>
        </w:rPr>
        <w:t xml:space="preserve"> the goals of Strategy 2030</w:t>
      </w:r>
      <w:r w:rsidR="00C2737C">
        <w:rPr>
          <w:lang w:val="en-US"/>
        </w:rPr>
        <w:t>.</w:t>
      </w:r>
    </w:p>
    <w:p w14:paraId="7479B740" w14:textId="77777777" w:rsidR="007664EF" w:rsidRPr="00AA77D6" w:rsidRDefault="007664EF" w:rsidP="007664EF">
      <w:pPr>
        <w:jc w:val="both"/>
        <w:rPr>
          <w:lang w:eastAsia="en-US"/>
        </w:rPr>
      </w:pPr>
    </w:p>
    <w:p w14:paraId="20EE4BF6" w14:textId="1ED9B39C" w:rsidR="00EA4F07" w:rsidRPr="00EB7F20" w:rsidRDefault="00884139" w:rsidP="00691E76">
      <w:pPr>
        <w:pStyle w:val="Heading1"/>
      </w:pPr>
      <w:bookmarkStart w:id="2" w:name="_Hlk131675748"/>
      <w:r w:rsidRPr="00EB7F20">
        <w:t>Environment</w:t>
      </w:r>
      <w:r w:rsidR="009C1EF8" w:rsidRPr="00EB7F20">
        <w:t xml:space="preserve"> Scanning</w:t>
      </w:r>
    </w:p>
    <w:p w14:paraId="017B433F" w14:textId="70784330" w:rsidR="00996920" w:rsidRDefault="009C1AB4" w:rsidP="009C1EF8">
      <w:pPr>
        <w:rPr>
          <w:lang w:eastAsia="en-US"/>
        </w:rPr>
      </w:pPr>
      <w:r w:rsidRPr="009C1AB4">
        <w:rPr>
          <w:lang w:eastAsia="en-US"/>
        </w:rPr>
        <w:t xml:space="preserve">As </w:t>
      </w:r>
      <w:r>
        <w:rPr>
          <w:lang w:eastAsia="en-US"/>
        </w:rPr>
        <w:t xml:space="preserve">part of the Committee’s role </w:t>
      </w:r>
      <w:r w:rsidR="003859F2">
        <w:rPr>
          <w:lang w:eastAsia="en-US"/>
        </w:rPr>
        <w:t xml:space="preserve">in the University’s strategy, </w:t>
      </w:r>
      <w:r w:rsidR="000E53D5">
        <w:rPr>
          <w:lang w:eastAsia="en-US"/>
        </w:rPr>
        <w:t xml:space="preserve">environment scanning is an essential tool to </w:t>
      </w:r>
      <w:r w:rsidR="00B3590A">
        <w:rPr>
          <w:lang w:eastAsia="en-US"/>
        </w:rPr>
        <w:t xml:space="preserve">enable it to </w:t>
      </w:r>
      <w:r w:rsidR="000E53D5">
        <w:rPr>
          <w:lang w:eastAsia="en-US"/>
        </w:rPr>
        <w:t>develop informed decisions about strategic priorities</w:t>
      </w:r>
      <w:r w:rsidR="00B3590A">
        <w:rPr>
          <w:lang w:eastAsia="en-US"/>
        </w:rPr>
        <w:t xml:space="preserve">. </w:t>
      </w:r>
      <w:r w:rsidR="002D7C79" w:rsidRPr="002D7C79">
        <w:rPr>
          <w:lang w:eastAsia="en-US"/>
        </w:rPr>
        <w:t xml:space="preserve">Environment </w:t>
      </w:r>
      <w:r w:rsidR="002D7C79">
        <w:rPr>
          <w:lang w:eastAsia="en-US"/>
        </w:rPr>
        <w:t>s</w:t>
      </w:r>
      <w:r w:rsidR="002D7C79" w:rsidRPr="002D7C79">
        <w:rPr>
          <w:lang w:eastAsia="en-US"/>
        </w:rPr>
        <w:t xml:space="preserve">canning updates </w:t>
      </w:r>
      <w:r w:rsidR="002D7C79">
        <w:rPr>
          <w:lang w:eastAsia="en-US"/>
        </w:rPr>
        <w:t xml:space="preserve">were </w:t>
      </w:r>
      <w:r w:rsidR="002D7C79" w:rsidRPr="002D7C79">
        <w:rPr>
          <w:lang w:eastAsia="en-US"/>
        </w:rPr>
        <w:t>presented through a PESTLE analysis</w:t>
      </w:r>
      <w:r w:rsidR="001B52F2">
        <w:rPr>
          <w:lang w:eastAsia="en-US"/>
        </w:rPr>
        <w:t xml:space="preserve">, which identifies key </w:t>
      </w:r>
      <w:r w:rsidR="002D7C79" w:rsidRPr="002D7C79">
        <w:rPr>
          <w:lang w:eastAsia="en-US"/>
        </w:rPr>
        <w:t>political, economic, social, technological, legal, &amp; environmental</w:t>
      </w:r>
      <w:r w:rsidR="001B52F2">
        <w:rPr>
          <w:lang w:eastAsia="en-US"/>
        </w:rPr>
        <w:t xml:space="preserve"> factors that could impact the University’s future. </w:t>
      </w:r>
      <w:r w:rsidR="00A8071F">
        <w:rPr>
          <w:lang w:eastAsia="en-US"/>
        </w:rPr>
        <w:t>The Committee consider</w:t>
      </w:r>
      <w:r w:rsidR="00476C9C">
        <w:rPr>
          <w:lang w:eastAsia="en-US"/>
        </w:rPr>
        <w:t>ed</w:t>
      </w:r>
      <w:r w:rsidR="00A8071F">
        <w:rPr>
          <w:lang w:eastAsia="en-US"/>
        </w:rPr>
        <w:t xml:space="preserve"> this information and advise</w:t>
      </w:r>
      <w:r w:rsidR="00476C9C">
        <w:rPr>
          <w:lang w:eastAsia="en-US"/>
        </w:rPr>
        <w:t>d</w:t>
      </w:r>
      <w:r w:rsidR="00A8071F">
        <w:rPr>
          <w:lang w:eastAsia="en-US"/>
        </w:rPr>
        <w:t xml:space="preserve"> the University on how </w:t>
      </w:r>
      <w:r w:rsidR="00B77E74">
        <w:rPr>
          <w:lang w:eastAsia="en-US"/>
        </w:rPr>
        <w:t xml:space="preserve">to approach </w:t>
      </w:r>
      <w:r w:rsidR="003E0109">
        <w:rPr>
          <w:lang w:eastAsia="en-US"/>
        </w:rPr>
        <w:t>thes</w:t>
      </w:r>
      <w:r w:rsidR="009B63EC">
        <w:rPr>
          <w:lang w:eastAsia="en-US"/>
        </w:rPr>
        <w:t>e developments</w:t>
      </w:r>
      <w:r w:rsidR="00B77E74">
        <w:rPr>
          <w:lang w:eastAsia="en-US"/>
        </w:rPr>
        <w:t xml:space="preserve">. </w:t>
      </w:r>
      <w:r w:rsidR="00996920" w:rsidRPr="00AA77D6">
        <w:rPr>
          <w:lang w:eastAsia="en-US"/>
        </w:rPr>
        <w:t xml:space="preserve">Key </w:t>
      </w:r>
      <w:r w:rsidR="00CE4032" w:rsidRPr="00AA77D6">
        <w:rPr>
          <w:lang w:eastAsia="en-US"/>
        </w:rPr>
        <w:t>areas considered in the 202</w:t>
      </w:r>
      <w:r w:rsidR="007D7E92">
        <w:rPr>
          <w:lang w:eastAsia="en-US"/>
        </w:rPr>
        <w:t>2</w:t>
      </w:r>
      <w:r w:rsidR="00CE4032" w:rsidRPr="00AA77D6">
        <w:rPr>
          <w:lang w:eastAsia="en-US"/>
        </w:rPr>
        <w:t>/202</w:t>
      </w:r>
      <w:r w:rsidR="007D7E92">
        <w:rPr>
          <w:lang w:eastAsia="en-US"/>
        </w:rPr>
        <w:t>3</w:t>
      </w:r>
      <w:r w:rsidR="00CE4032" w:rsidRPr="00AA77D6">
        <w:rPr>
          <w:lang w:eastAsia="en-US"/>
        </w:rPr>
        <w:t xml:space="preserve"> academic year included:</w:t>
      </w:r>
    </w:p>
    <w:p w14:paraId="7DAC4A29" w14:textId="77777777" w:rsidR="00BE6D20" w:rsidRPr="00AA77D6" w:rsidRDefault="00BE6D20" w:rsidP="009C1EF8">
      <w:pPr>
        <w:rPr>
          <w:lang w:eastAsia="en-US"/>
        </w:rPr>
      </w:pPr>
    </w:p>
    <w:bookmarkEnd w:id="2"/>
    <w:p w14:paraId="03CD5BE5" w14:textId="083AC39D" w:rsidR="00CE4032" w:rsidRDefault="00065026" w:rsidP="009C1EF8">
      <w:pPr>
        <w:rPr>
          <w:u w:val="single"/>
        </w:rPr>
      </w:pPr>
      <w:r>
        <w:rPr>
          <w:u w:val="single"/>
        </w:rPr>
        <w:t>International Recruitment</w:t>
      </w:r>
    </w:p>
    <w:p w14:paraId="469D25FF" w14:textId="03630740" w:rsidR="00216E41" w:rsidRDefault="00B95940" w:rsidP="009C1EF8">
      <w:pPr>
        <w:rPr>
          <w:lang w:val="en-US"/>
        </w:rPr>
      </w:pPr>
      <w:r>
        <w:t>There were two key changes during the academic year which ha</w:t>
      </w:r>
      <w:r w:rsidR="00BF15E2">
        <w:t>d</w:t>
      </w:r>
      <w:r>
        <w:t xml:space="preserve"> </w:t>
      </w:r>
      <w:r w:rsidR="00811656">
        <w:t>a potentially negative impact on the University’s international recruitment. Firstly, t</w:t>
      </w:r>
      <w:r w:rsidR="001A29DB" w:rsidRPr="00D96244">
        <w:t xml:space="preserve">he UK Government </w:t>
      </w:r>
      <w:r w:rsidR="001A29DB">
        <w:t>made the decision to</w:t>
      </w:r>
      <w:r w:rsidR="001A29DB" w:rsidRPr="00D96244">
        <w:t xml:space="preserve"> abolish visas for dependants of international </w:t>
      </w:r>
      <w:r w:rsidR="001A29DB">
        <w:t>postgraduate</w:t>
      </w:r>
      <w:r w:rsidR="001A29DB" w:rsidRPr="00D96244">
        <w:t xml:space="preserve"> students.</w:t>
      </w:r>
      <w:r>
        <w:t xml:space="preserve"> </w:t>
      </w:r>
      <w:r w:rsidR="001A29DB" w:rsidRPr="00D96244">
        <w:t xml:space="preserve">The changes were planned to take place in January 2024, </w:t>
      </w:r>
      <w:r>
        <w:t>meaning</w:t>
      </w:r>
      <w:r w:rsidR="001A29DB" w:rsidRPr="00D96244">
        <w:t xml:space="preserve"> the impact was still unknown.</w:t>
      </w:r>
      <w:r>
        <w:t xml:space="preserve"> Additionally, </w:t>
      </w:r>
      <w:r w:rsidR="00811656">
        <w:rPr>
          <w:lang w:val="en-US"/>
        </w:rPr>
        <w:t>t</w:t>
      </w:r>
      <w:r w:rsidR="008C6D4E" w:rsidRPr="008C6D4E">
        <w:rPr>
          <w:lang w:val="en-US"/>
        </w:rPr>
        <w:t xml:space="preserve">here </w:t>
      </w:r>
      <w:r w:rsidR="00811656">
        <w:rPr>
          <w:lang w:val="en-US"/>
        </w:rPr>
        <w:t>was likely to be</w:t>
      </w:r>
      <w:r w:rsidR="008C6D4E" w:rsidRPr="008C6D4E">
        <w:rPr>
          <w:lang w:val="en-US"/>
        </w:rPr>
        <w:t xml:space="preserve"> increased competition with Australia, which had recently changed </w:t>
      </w:r>
      <w:r w:rsidR="00490371">
        <w:rPr>
          <w:lang w:val="en-US"/>
        </w:rPr>
        <w:t>its</w:t>
      </w:r>
      <w:r w:rsidR="008C6D4E" w:rsidRPr="008C6D4E">
        <w:rPr>
          <w:lang w:val="en-US"/>
        </w:rPr>
        <w:t xml:space="preserve"> student visa, adding two-years post-study. </w:t>
      </w:r>
    </w:p>
    <w:p w14:paraId="522738E0" w14:textId="77777777" w:rsidR="00BE6D20" w:rsidRPr="00216E41" w:rsidRDefault="00BE6D20" w:rsidP="009C1EF8">
      <w:pPr>
        <w:rPr>
          <w:lang w:val="en-US"/>
        </w:rPr>
      </w:pPr>
    </w:p>
    <w:p w14:paraId="6A4085D1" w14:textId="6A89E182" w:rsidR="00192836" w:rsidRPr="00AA77D6" w:rsidRDefault="007D2A19" w:rsidP="009C1EF8">
      <w:pPr>
        <w:rPr>
          <w:u w:val="single"/>
        </w:rPr>
      </w:pPr>
      <w:r>
        <w:rPr>
          <w:u w:val="single"/>
        </w:rPr>
        <w:t>Inflation and Cost-of-Living</w:t>
      </w:r>
    </w:p>
    <w:p w14:paraId="22575024" w14:textId="05813F58" w:rsidR="00216E41" w:rsidRDefault="007D2A19" w:rsidP="009C1EF8">
      <w:r>
        <w:t>Throu</w:t>
      </w:r>
      <w:r w:rsidR="00264DC4">
        <w:t xml:space="preserve">ghout the academic year, the Committee kept a close eye on the </w:t>
      </w:r>
      <w:r w:rsidR="00490371">
        <w:t>cost-of-living crisis, assessing the impact it was having on both students and staff.</w:t>
      </w:r>
    </w:p>
    <w:p w14:paraId="7A1FD3E9" w14:textId="77777777" w:rsidR="00BE6D20" w:rsidRPr="00216E41" w:rsidRDefault="00BE6D20" w:rsidP="009C1EF8"/>
    <w:p w14:paraId="08A67A15" w14:textId="15C78573" w:rsidR="001F2097" w:rsidRDefault="008673D1" w:rsidP="009C1EF8">
      <w:pPr>
        <w:rPr>
          <w:u w:val="single"/>
        </w:rPr>
      </w:pPr>
      <w:r w:rsidRPr="00AA77D6">
        <w:rPr>
          <w:u w:val="single"/>
        </w:rPr>
        <w:t>Commission for Tertiary Education and Research Wales</w:t>
      </w:r>
    </w:p>
    <w:p w14:paraId="60CB9E07" w14:textId="545812AF" w:rsidR="00EC4044" w:rsidRPr="00EC4044" w:rsidRDefault="0099165C" w:rsidP="009C1EF8">
      <w:r>
        <w:t xml:space="preserve">Whilst there were no immediate changes for the University to act on during 2022/23, the </w:t>
      </w:r>
      <w:r w:rsidR="00EC4044">
        <w:t xml:space="preserve">Committee regularly reviewed the developments relating to the new </w:t>
      </w:r>
      <w:r w:rsidR="00EC4044" w:rsidRPr="00EC4044">
        <w:t>Commission for Tertiary Education and Research (the</w:t>
      </w:r>
      <w:r w:rsidR="00EC4044" w:rsidRPr="00EC4044">
        <w:rPr>
          <w:b/>
          <w:bCs/>
        </w:rPr>
        <w:t xml:space="preserve"> Commission</w:t>
      </w:r>
      <w:r w:rsidR="00EC4044" w:rsidRPr="00EC4044">
        <w:t>)</w:t>
      </w:r>
      <w:r w:rsidR="00EC4044">
        <w:t>, which would be replacing HEFCW in 2024.</w:t>
      </w:r>
      <w:r w:rsidR="004069F1">
        <w:t xml:space="preserve"> </w:t>
      </w:r>
      <w:bookmarkStart w:id="3" w:name="OLE_LINK1"/>
      <w:bookmarkStart w:id="4" w:name="OLE_LINK2"/>
      <w:r w:rsidR="004069F1">
        <w:t>The Commission</w:t>
      </w:r>
      <w:r w:rsidR="00121BAF">
        <w:t xml:space="preserve">’s </w:t>
      </w:r>
      <w:r w:rsidR="004069F1">
        <w:t xml:space="preserve">regulatory remit </w:t>
      </w:r>
      <w:r w:rsidR="00121BAF">
        <w:t>would encompass both</w:t>
      </w:r>
      <w:r w:rsidR="004069F1">
        <w:t xml:space="preserve"> Higher Education and Further Education, </w:t>
      </w:r>
      <w:r w:rsidR="00121BAF">
        <w:t>unlike</w:t>
      </w:r>
      <w:r w:rsidR="004069F1">
        <w:t xml:space="preserve"> HEFCW </w:t>
      </w:r>
      <w:r w:rsidR="00121BAF">
        <w:t xml:space="preserve">which </w:t>
      </w:r>
      <w:r w:rsidR="004069F1">
        <w:t>had oversight of HE only. The Committee regularly discussed the Commission</w:t>
      </w:r>
      <w:r w:rsidR="002F7E21">
        <w:t>’s priorities around</w:t>
      </w:r>
      <w:r w:rsidR="004069F1">
        <w:t xml:space="preserve"> Learner Voice and </w:t>
      </w:r>
      <w:r w:rsidR="004069F1">
        <w:lastRenderedPageBreak/>
        <w:t>Civic Mission, and</w:t>
      </w:r>
      <w:r w:rsidR="006E1314">
        <w:t xml:space="preserve"> </w:t>
      </w:r>
      <w:bookmarkStart w:id="5" w:name="OLE_LINK3"/>
      <w:bookmarkStart w:id="6" w:name="OLE_LINK4"/>
      <w:r w:rsidR="00A138DE">
        <w:t>intended</w:t>
      </w:r>
      <w:r w:rsidR="006E1314">
        <w:t xml:space="preserve"> to discuss ways of developing these areas further</w:t>
      </w:r>
      <w:bookmarkEnd w:id="3"/>
      <w:bookmarkEnd w:id="4"/>
      <w:r w:rsidR="00CE53E8">
        <w:t xml:space="preserve"> once CTER’s priorities </w:t>
      </w:r>
      <w:bookmarkEnd w:id="5"/>
      <w:bookmarkEnd w:id="6"/>
      <w:r w:rsidR="00A138DE">
        <w:t>became more evident.</w:t>
      </w:r>
    </w:p>
    <w:p w14:paraId="5036F6E4" w14:textId="77777777" w:rsidR="00461236" w:rsidRPr="00AA77D6" w:rsidRDefault="00461236" w:rsidP="00691E76"/>
    <w:p w14:paraId="3954C2E2" w14:textId="7AA41F78" w:rsidR="00085F91" w:rsidRPr="00AA77D6" w:rsidRDefault="009C1EF8" w:rsidP="00691E76">
      <w:pPr>
        <w:pStyle w:val="Heading1"/>
      </w:pPr>
      <w:r w:rsidRPr="00AA77D6">
        <w:t>Performance</w:t>
      </w:r>
    </w:p>
    <w:p w14:paraId="0E15AA98" w14:textId="3D83A6A6" w:rsidR="00987896" w:rsidRDefault="005C6787" w:rsidP="00B6362D">
      <w:r w:rsidRPr="00AA77D6">
        <w:t>As part of the Committee’s commitment to</w:t>
      </w:r>
      <w:r w:rsidR="00A65DE3">
        <w:t xml:space="preserve"> oversee the</w:t>
      </w:r>
      <w:r w:rsidRPr="00AA77D6">
        <w:t xml:space="preserve"> develop</w:t>
      </w:r>
      <w:r w:rsidR="00A65DE3">
        <w:t>ment of</w:t>
      </w:r>
      <w:r w:rsidRPr="00AA77D6">
        <w:t xml:space="preserve"> the University</w:t>
      </w:r>
      <w:r w:rsidR="00A65DE3">
        <w:t>’s strategic goal to be a Top 50 UK University</w:t>
      </w:r>
      <w:r w:rsidRPr="00AA77D6">
        <w:t xml:space="preserve">, it received </w:t>
      </w:r>
      <w:r w:rsidR="00C95906">
        <w:t xml:space="preserve">regular relevant </w:t>
      </w:r>
      <w:r w:rsidRPr="00AA77D6">
        <w:t>reports throughout the academic year</w:t>
      </w:r>
      <w:r w:rsidR="00C95906">
        <w:t xml:space="preserve">. </w:t>
      </w:r>
    </w:p>
    <w:p w14:paraId="021130A7" w14:textId="77777777" w:rsidR="00BE6D20" w:rsidRPr="00BE6D20" w:rsidRDefault="00BE6D20" w:rsidP="00B6362D"/>
    <w:p w14:paraId="36BA9DCE" w14:textId="6273C33B" w:rsidR="00E92369" w:rsidRPr="00AA77D6" w:rsidRDefault="00E92369" w:rsidP="00B6362D">
      <w:pPr>
        <w:rPr>
          <w:u w:val="single"/>
        </w:rPr>
      </w:pPr>
      <w:r w:rsidRPr="00AA77D6">
        <w:rPr>
          <w:u w:val="single"/>
        </w:rPr>
        <w:t>League Tables</w:t>
      </w:r>
    </w:p>
    <w:p w14:paraId="589B921B" w14:textId="54AB3D23" w:rsidR="00113558" w:rsidRDefault="00113558" w:rsidP="00B6362D">
      <w:r>
        <w:t>As a widely used and influential measure of university performance</w:t>
      </w:r>
      <w:r w:rsidR="009113C0">
        <w:t>, league tables</w:t>
      </w:r>
      <w:r w:rsidR="001C0568">
        <w:t xml:space="preserve"> can have a significant impact on attracting students</w:t>
      </w:r>
      <w:r w:rsidR="009134BE">
        <w:t>. T</w:t>
      </w:r>
      <w:r w:rsidR="0064477D">
        <w:t>herefore</w:t>
      </w:r>
      <w:r w:rsidR="009134BE">
        <w:t>,</w:t>
      </w:r>
      <w:r w:rsidR="0064477D">
        <w:t xml:space="preserve"> consideration </w:t>
      </w:r>
      <w:r w:rsidR="009134BE">
        <w:t xml:space="preserve">of </w:t>
      </w:r>
      <w:r w:rsidR="00B21FC9">
        <w:t>the UK le</w:t>
      </w:r>
      <w:r w:rsidR="0044222A">
        <w:t xml:space="preserve">ague tables is vital </w:t>
      </w:r>
      <w:r w:rsidR="004D57E8">
        <w:t>for developing str</w:t>
      </w:r>
      <w:r w:rsidR="00DD6912">
        <w:t>ategies to improve the University’s</w:t>
      </w:r>
      <w:r w:rsidR="00E4436A">
        <w:t xml:space="preserve"> overall</w:t>
      </w:r>
      <w:r w:rsidR="00E1630B">
        <w:t xml:space="preserve"> image</w:t>
      </w:r>
      <w:r w:rsidR="001C0568">
        <w:t xml:space="preserve">. </w:t>
      </w:r>
    </w:p>
    <w:p w14:paraId="1263C79A" w14:textId="77777777" w:rsidR="00747ADE" w:rsidRDefault="00747ADE" w:rsidP="00B6362D"/>
    <w:p w14:paraId="70F8DE84" w14:textId="3518C5AA" w:rsidR="00C444F7" w:rsidRPr="00AA77D6" w:rsidRDefault="00AF518C" w:rsidP="00B6362D">
      <w:r>
        <w:t>I</w:t>
      </w:r>
      <w:r w:rsidR="003E69D8" w:rsidRPr="00AA77D6">
        <w:t xml:space="preserve">n </w:t>
      </w:r>
      <w:r w:rsidR="001F49EC">
        <w:t>2022</w:t>
      </w:r>
      <w:r w:rsidR="003E69D8" w:rsidRPr="00AA77D6">
        <w:t xml:space="preserve">, the University’s </w:t>
      </w:r>
      <w:r w:rsidR="00114BAD" w:rsidRPr="00AA77D6">
        <w:t xml:space="preserve">general </w:t>
      </w:r>
      <w:r w:rsidR="003E69D8" w:rsidRPr="00AA77D6">
        <w:t>league table performance</w:t>
      </w:r>
      <w:r w:rsidR="00054F3D" w:rsidRPr="00AA77D6">
        <w:t xml:space="preserve"> was as follows:</w:t>
      </w:r>
    </w:p>
    <w:p w14:paraId="5A4CE979" w14:textId="77777777" w:rsidR="001F49EC" w:rsidRPr="001F49EC" w:rsidRDefault="001F49EC" w:rsidP="00C21E5F">
      <w:pPr>
        <w:numPr>
          <w:ilvl w:val="0"/>
          <w:numId w:val="13"/>
        </w:numPr>
        <w:spacing w:after="0"/>
        <w:rPr>
          <w:rFonts w:eastAsiaTheme="minorHAnsi" w:cstheme="minorBidi"/>
          <w:szCs w:val="22"/>
          <w:lang w:eastAsia="en-US"/>
        </w:rPr>
      </w:pPr>
      <w:r w:rsidRPr="001F49EC">
        <w:rPr>
          <w:rFonts w:eastAsiaTheme="minorHAnsi" w:cstheme="minorBidi"/>
          <w:szCs w:val="22"/>
          <w:lang w:eastAsia="en-US"/>
        </w:rPr>
        <w:t>72</w:t>
      </w:r>
      <w:r w:rsidRPr="001F49EC">
        <w:rPr>
          <w:rFonts w:eastAsiaTheme="minorHAnsi" w:cstheme="minorBidi"/>
          <w:szCs w:val="22"/>
          <w:vertAlign w:val="superscript"/>
          <w:lang w:eastAsia="en-US"/>
        </w:rPr>
        <w:t>nd</w:t>
      </w:r>
      <w:r w:rsidRPr="001F49EC">
        <w:rPr>
          <w:rFonts w:eastAsiaTheme="minorHAnsi" w:cstheme="minorBidi"/>
          <w:szCs w:val="22"/>
          <w:lang w:eastAsia="en-US"/>
        </w:rPr>
        <w:t xml:space="preserve"> out of 130 UK providers in the Complete University Guide (down 9 places);  </w:t>
      </w:r>
    </w:p>
    <w:p w14:paraId="53A5B7CC" w14:textId="77777777" w:rsidR="001F49EC" w:rsidRPr="001F49EC" w:rsidRDefault="001F49EC" w:rsidP="00C21E5F">
      <w:pPr>
        <w:numPr>
          <w:ilvl w:val="0"/>
          <w:numId w:val="13"/>
        </w:numPr>
        <w:spacing w:after="0"/>
        <w:rPr>
          <w:rFonts w:eastAsiaTheme="minorHAnsi" w:cstheme="minorBidi"/>
          <w:szCs w:val="22"/>
          <w:lang w:eastAsia="en-US"/>
        </w:rPr>
      </w:pPr>
      <w:r w:rsidRPr="001F49EC">
        <w:rPr>
          <w:rFonts w:eastAsiaTheme="minorHAnsi" w:cstheme="minorBidi"/>
          <w:szCs w:val="22"/>
          <w:lang w:eastAsia="en-US"/>
        </w:rPr>
        <w:t>73</w:t>
      </w:r>
      <w:r w:rsidRPr="001F49EC">
        <w:rPr>
          <w:rFonts w:eastAsiaTheme="minorHAnsi" w:cstheme="minorBidi"/>
          <w:szCs w:val="22"/>
          <w:vertAlign w:val="superscript"/>
          <w:lang w:eastAsia="en-US"/>
        </w:rPr>
        <w:t>rd</w:t>
      </w:r>
      <w:r w:rsidRPr="001F49EC">
        <w:rPr>
          <w:rFonts w:eastAsiaTheme="minorHAnsi" w:cstheme="minorBidi"/>
          <w:szCs w:val="22"/>
          <w:lang w:eastAsia="en-US"/>
        </w:rPr>
        <w:t xml:space="preserve"> out of 121 UK providers in the Guardian University Guide (down 11 places);  </w:t>
      </w:r>
    </w:p>
    <w:p w14:paraId="1788FC15" w14:textId="77777777" w:rsidR="001F49EC" w:rsidRDefault="001F49EC" w:rsidP="00C21E5F">
      <w:pPr>
        <w:numPr>
          <w:ilvl w:val="0"/>
          <w:numId w:val="13"/>
        </w:numPr>
        <w:rPr>
          <w:rFonts w:eastAsiaTheme="minorHAnsi" w:cstheme="minorBidi"/>
          <w:szCs w:val="22"/>
          <w:lang w:eastAsia="en-US"/>
        </w:rPr>
      </w:pPr>
      <w:r w:rsidRPr="001F49EC">
        <w:rPr>
          <w:rFonts w:eastAsiaTheme="minorHAnsi" w:cstheme="minorBidi"/>
          <w:szCs w:val="22"/>
          <w:lang w:eastAsia="en-US"/>
        </w:rPr>
        <w:t>93</w:t>
      </w:r>
      <w:r w:rsidRPr="001F49EC">
        <w:rPr>
          <w:rFonts w:eastAsiaTheme="minorHAnsi" w:cstheme="minorBidi"/>
          <w:szCs w:val="22"/>
          <w:vertAlign w:val="superscript"/>
          <w:lang w:eastAsia="en-US"/>
        </w:rPr>
        <w:t>rd</w:t>
      </w:r>
      <w:r w:rsidRPr="001F49EC">
        <w:rPr>
          <w:rFonts w:eastAsiaTheme="minorHAnsi" w:cstheme="minorBidi"/>
          <w:szCs w:val="22"/>
          <w:lang w:eastAsia="en-US"/>
        </w:rPr>
        <w:t xml:space="preserve"> out of 132 UK providers in Times and Sunday Times Good University Guide (down 14 places).   </w:t>
      </w:r>
    </w:p>
    <w:p w14:paraId="74268CC7" w14:textId="77777777" w:rsidR="00A92486" w:rsidRDefault="00A92486" w:rsidP="00C445C0">
      <w:pPr>
        <w:rPr>
          <w:rFonts w:eastAsiaTheme="minorHAnsi" w:cstheme="minorBidi"/>
          <w:szCs w:val="22"/>
          <w:lang w:eastAsia="en-US"/>
        </w:rPr>
      </w:pPr>
    </w:p>
    <w:p w14:paraId="018ABFCD" w14:textId="66340166" w:rsidR="00C445C0" w:rsidRPr="001F49EC" w:rsidRDefault="00C445C0" w:rsidP="00C445C0">
      <w:pPr>
        <w:rPr>
          <w:rFonts w:eastAsiaTheme="minorHAnsi" w:cstheme="minorBidi"/>
          <w:szCs w:val="22"/>
          <w:lang w:eastAsia="en-US"/>
        </w:rPr>
      </w:pPr>
      <w:r>
        <w:rPr>
          <w:rFonts w:eastAsiaTheme="minorHAnsi" w:cstheme="minorBidi"/>
          <w:szCs w:val="22"/>
          <w:lang w:eastAsia="en-US"/>
        </w:rPr>
        <w:t>A</w:t>
      </w:r>
      <w:r w:rsidRPr="00C445C0">
        <w:rPr>
          <w:rFonts w:eastAsiaTheme="minorHAnsi" w:cstheme="minorBidi"/>
          <w:szCs w:val="22"/>
          <w:lang w:eastAsia="en-US"/>
        </w:rPr>
        <w:t xml:space="preserve"> Working Group had been established to look at the University’s ambition to be a Top 50 University by 2030. The University would need to explore the staff/student ratio, student retention &amp; completion, as well as the NSS among other areas. </w:t>
      </w:r>
    </w:p>
    <w:p w14:paraId="7F41CAC7" w14:textId="77777777" w:rsidR="003B6CC3" w:rsidRDefault="003B6CC3" w:rsidP="00B6362D">
      <w:pPr>
        <w:rPr>
          <w:u w:val="single"/>
        </w:rPr>
      </w:pPr>
    </w:p>
    <w:p w14:paraId="2BABA578" w14:textId="55E9A3E7" w:rsidR="00E92369" w:rsidRDefault="00E92369" w:rsidP="00B6362D">
      <w:pPr>
        <w:rPr>
          <w:u w:val="single"/>
        </w:rPr>
      </w:pPr>
      <w:r w:rsidRPr="00AA77D6">
        <w:rPr>
          <w:u w:val="single"/>
        </w:rPr>
        <w:t>Student Recruitment</w:t>
      </w:r>
    </w:p>
    <w:p w14:paraId="6858806E" w14:textId="614A0239" w:rsidR="00A05606" w:rsidRDefault="00B15363" w:rsidP="00B6362D">
      <w:r>
        <w:t xml:space="preserve">As the University’s main source of income </w:t>
      </w:r>
      <w:r w:rsidR="00010351">
        <w:t xml:space="preserve">is tuition fees, </w:t>
      </w:r>
      <w:r w:rsidR="00B134AC">
        <w:t xml:space="preserve">tracking the </w:t>
      </w:r>
      <w:r w:rsidR="00187AB2">
        <w:t>University’s progress towards</w:t>
      </w:r>
      <w:r w:rsidR="00AB1D11">
        <w:t xml:space="preserve"> its enrolment targets </w:t>
      </w:r>
      <w:r w:rsidR="006B5FAE">
        <w:t xml:space="preserve">is </w:t>
      </w:r>
      <w:r w:rsidR="00350710">
        <w:t>important to identify areas for improvement. At each meeting, the Committee was briefed on the recruitment statistics and activities at the University.</w:t>
      </w:r>
    </w:p>
    <w:p w14:paraId="7762DD52" w14:textId="29C8060A" w:rsidR="006D508C" w:rsidRDefault="0025259B" w:rsidP="00B6362D">
      <w:r>
        <w:t>During 2022/23, a</w:t>
      </w:r>
      <w:r w:rsidR="00A964D0">
        <w:t xml:space="preserve"> key issue for the HE sector, including the University, was the decrease in PGCE applications. This reduction was </w:t>
      </w:r>
      <w:r w:rsidR="00446D87">
        <w:t>being seen across the sector</w:t>
      </w:r>
      <w:r w:rsidR="00F13428">
        <w:t xml:space="preserve"> due to the career no longer seeming attractive to potential students</w:t>
      </w:r>
      <w:r w:rsidR="0003495A">
        <w:t xml:space="preserve"> (caused by deterioration in pay and conditions)</w:t>
      </w:r>
      <w:r w:rsidR="00F13428">
        <w:t xml:space="preserve">. The Committee worked with the Executive on ways to improve </w:t>
      </w:r>
      <w:r w:rsidR="00B51296">
        <w:t>the University’s offering</w:t>
      </w:r>
      <w:r w:rsidR="003350C1">
        <w:t xml:space="preserve">, and discussed proposals that could be taken forward </w:t>
      </w:r>
      <w:r w:rsidR="00CA7D07">
        <w:t>to help the challenge of recruiting teachers across Wales.</w:t>
      </w:r>
    </w:p>
    <w:p w14:paraId="7605CF28" w14:textId="13969AFA" w:rsidR="00A05606" w:rsidRPr="00A159CB" w:rsidRDefault="00A05606" w:rsidP="00B6362D">
      <w:r>
        <w:t xml:space="preserve">Additionally, </w:t>
      </w:r>
      <w:r w:rsidRPr="00A05606">
        <w:t xml:space="preserve">student retention had been causing concern across the sector, due to the challenges associated with the cost-of-living. </w:t>
      </w:r>
    </w:p>
    <w:p w14:paraId="0608B04E" w14:textId="77777777" w:rsidR="003B6CC3" w:rsidRDefault="003B6CC3" w:rsidP="00B6362D">
      <w:pPr>
        <w:rPr>
          <w:u w:val="single"/>
        </w:rPr>
      </w:pPr>
    </w:p>
    <w:p w14:paraId="53B8ECD1" w14:textId="1A0D29C8" w:rsidR="00724A8A" w:rsidRPr="00AA77D6" w:rsidRDefault="00724A8A" w:rsidP="00B6362D">
      <w:r w:rsidRPr="00AA77D6">
        <w:rPr>
          <w:u w:val="single"/>
        </w:rPr>
        <w:t xml:space="preserve">Postgraduate </w:t>
      </w:r>
      <w:r w:rsidR="00F76928" w:rsidRPr="00AA77D6">
        <w:rPr>
          <w:u w:val="single"/>
        </w:rPr>
        <w:t>Research</w:t>
      </w:r>
      <w:r w:rsidRPr="00AA77D6">
        <w:rPr>
          <w:u w:val="single"/>
        </w:rPr>
        <w:t xml:space="preserve"> </w:t>
      </w:r>
      <w:r w:rsidR="002E719D">
        <w:rPr>
          <w:u w:val="single"/>
        </w:rPr>
        <w:t>Experience</w:t>
      </w:r>
      <w:r w:rsidRPr="00AA77D6">
        <w:rPr>
          <w:u w:val="single"/>
        </w:rPr>
        <w:t xml:space="preserve"> Survey Results</w:t>
      </w:r>
      <w:r w:rsidR="003905B4" w:rsidRPr="00AA77D6">
        <w:rPr>
          <w:u w:val="single"/>
        </w:rPr>
        <w:t xml:space="preserve"> 202</w:t>
      </w:r>
      <w:r w:rsidR="005A08DC">
        <w:rPr>
          <w:u w:val="single"/>
        </w:rPr>
        <w:t>2</w:t>
      </w:r>
    </w:p>
    <w:p w14:paraId="7E6404C8" w14:textId="3F29AC97" w:rsidR="00036666" w:rsidRPr="002D497F" w:rsidRDefault="0046479E" w:rsidP="00B6362D">
      <w:pPr>
        <w:rPr>
          <w:rStyle w:val="normaltextrun"/>
          <w:rFonts w:eastAsiaTheme="majorEastAsia" w:cs="Arial"/>
          <w:shd w:val="clear" w:color="auto" w:fill="FFFFFF"/>
        </w:rPr>
      </w:pPr>
      <w:r w:rsidRPr="00B0531C">
        <w:t xml:space="preserve">The Postgraduate Research </w:t>
      </w:r>
      <w:r w:rsidR="00543274" w:rsidRPr="00B0531C">
        <w:t>Experience</w:t>
      </w:r>
      <w:r w:rsidRPr="00B0531C">
        <w:t xml:space="preserve"> Survey (</w:t>
      </w:r>
      <w:r w:rsidRPr="00B0531C">
        <w:rPr>
          <w:b/>
          <w:bCs/>
        </w:rPr>
        <w:t>PRES</w:t>
      </w:r>
      <w:r w:rsidRPr="00B0531C">
        <w:t>)</w:t>
      </w:r>
      <w:r w:rsidRPr="00B0531C">
        <w:rPr>
          <w:b/>
          <w:bCs/>
        </w:rPr>
        <w:t xml:space="preserve"> </w:t>
      </w:r>
      <w:r w:rsidRPr="00B0531C">
        <w:t xml:space="preserve">indicates how well the University </w:t>
      </w:r>
      <w:r w:rsidR="00EF792A" w:rsidRPr="00B0531C">
        <w:rPr>
          <w:rStyle w:val="normaltextrun"/>
          <w:rFonts w:eastAsiaTheme="majorEastAsia" w:cs="Arial"/>
          <w:shd w:val="clear" w:color="auto" w:fill="FFFFFF"/>
        </w:rPr>
        <w:t xml:space="preserve">supported Doctoral Research candidates. </w:t>
      </w:r>
      <w:r w:rsidR="009146C1">
        <w:rPr>
          <w:rStyle w:val="normaltextrun"/>
          <w:rFonts w:eastAsiaTheme="majorEastAsia" w:cs="Arial"/>
          <w:shd w:val="clear" w:color="auto" w:fill="FFFFFF"/>
        </w:rPr>
        <w:t xml:space="preserve">In 2022, the University ranked </w:t>
      </w:r>
      <w:r w:rsidR="009146C1" w:rsidRPr="009146C1">
        <w:rPr>
          <w:rFonts w:eastAsiaTheme="majorEastAsia" w:cs="Arial"/>
          <w:shd w:val="clear" w:color="auto" w:fill="FFFFFF"/>
        </w:rPr>
        <w:t>2</w:t>
      </w:r>
      <w:r w:rsidR="009146C1" w:rsidRPr="009146C1">
        <w:rPr>
          <w:rFonts w:eastAsiaTheme="majorEastAsia" w:cs="Arial"/>
          <w:shd w:val="clear" w:color="auto" w:fill="FFFFFF"/>
          <w:vertAlign w:val="superscript"/>
        </w:rPr>
        <w:t>nd</w:t>
      </w:r>
      <w:r w:rsidR="009146C1" w:rsidRPr="009146C1">
        <w:rPr>
          <w:rFonts w:eastAsiaTheme="majorEastAsia" w:cs="Arial"/>
          <w:shd w:val="clear" w:color="auto" w:fill="FFFFFF"/>
        </w:rPr>
        <w:t xml:space="preserve"> </w:t>
      </w:r>
      <w:r w:rsidR="009146C1" w:rsidRPr="009146C1">
        <w:rPr>
          <w:rFonts w:eastAsiaTheme="majorEastAsia" w:cs="Arial"/>
          <w:shd w:val="clear" w:color="auto" w:fill="FFFFFF"/>
        </w:rPr>
        <w:lastRenderedPageBreak/>
        <w:t xml:space="preserve">of 54 </w:t>
      </w:r>
      <w:r w:rsidR="009146C1">
        <w:rPr>
          <w:rFonts w:eastAsiaTheme="majorEastAsia" w:cs="Arial"/>
          <w:shd w:val="clear" w:color="auto" w:fill="FFFFFF"/>
        </w:rPr>
        <w:t>HE insti</w:t>
      </w:r>
      <w:r w:rsidR="00650E8F">
        <w:rPr>
          <w:rFonts w:eastAsiaTheme="majorEastAsia" w:cs="Arial"/>
          <w:shd w:val="clear" w:color="auto" w:fill="FFFFFF"/>
        </w:rPr>
        <w:t>tutions</w:t>
      </w:r>
      <w:r w:rsidR="009146C1" w:rsidRPr="009146C1">
        <w:rPr>
          <w:rFonts w:eastAsiaTheme="majorEastAsia" w:cs="Arial"/>
          <w:shd w:val="clear" w:color="auto" w:fill="FFFFFF"/>
        </w:rPr>
        <w:t>, with a 90% general satisfaction rate – this was 10% above the sector average, and the University’s joint best performance.</w:t>
      </w:r>
      <w:r w:rsidR="002D497F">
        <w:rPr>
          <w:rFonts w:eastAsiaTheme="majorEastAsia" w:cs="Arial"/>
          <w:shd w:val="clear" w:color="auto" w:fill="FFFFFF"/>
        </w:rPr>
        <w:t xml:space="preserve"> </w:t>
      </w:r>
      <w:r w:rsidR="00036666">
        <w:rPr>
          <w:rFonts w:eastAsiaTheme="majorEastAsia" w:cs="Arial"/>
          <w:shd w:val="clear" w:color="auto" w:fill="FFFFFF"/>
        </w:rPr>
        <w:t xml:space="preserve">The Committee discussed </w:t>
      </w:r>
      <w:r w:rsidR="00FA7BC8">
        <w:rPr>
          <w:rFonts w:eastAsiaTheme="majorEastAsia" w:cs="Arial"/>
          <w:shd w:val="clear" w:color="auto" w:fill="FFFFFF"/>
        </w:rPr>
        <w:t xml:space="preserve">with the Executive </w:t>
      </w:r>
      <w:r w:rsidR="00036666">
        <w:rPr>
          <w:rFonts w:eastAsiaTheme="majorEastAsia" w:cs="Arial"/>
          <w:shd w:val="clear" w:color="auto" w:fill="FFFFFF"/>
        </w:rPr>
        <w:t xml:space="preserve">how to make any further improvements to the scores. A key area the University was </w:t>
      </w:r>
      <w:r w:rsidR="006141BA">
        <w:rPr>
          <w:rFonts w:eastAsiaTheme="majorEastAsia" w:cs="Arial"/>
          <w:shd w:val="clear" w:color="auto" w:fill="FFFFFF"/>
        </w:rPr>
        <w:t xml:space="preserve">developing </w:t>
      </w:r>
      <w:r w:rsidR="00036666">
        <w:rPr>
          <w:rFonts w:eastAsiaTheme="majorEastAsia" w:cs="Arial"/>
          <w:shd w:val="clear" w:color="auto" w:fill="FFFFFF"/>
        </w:rPr>
        <w:t xml:space="preserve">was community and culture among postgraduates, this included social </w:t>
      </w:r>
      <w:r w:rsidR="000C359A">
        <w:rPr>
          <w:rFonts w:eastAsiaTheme="majorEastAsia" w:cs="Arial"/>
          <w:shd w:val="clear" w:color="auto" w:fill="FFFFFF"/>
        </w:rPr>
        <w:t>meetups</w:t>
      </w:r>
      <w:r w:rsidR="00036666">
        <w:rPr>
          <w:rFonts w:eastAsiaTheme="majorEastAsia" w:cs="Arial"/>
          <w:shd w:val="clear" w:color="auto" w:fill="FFFFFF"/>
        </w:rPr>
        <w:t xml:space="preserve"> such as brunch clubs.</w:t>
      </w:r>
    </w:p>
    <w:p w14:paraId="0A7EAD17" w14:textId="77777777" w:rsidR="003B6CC3" w:rsidRDefault="003B6CC3" w:rsidP="009D1CD7">
      <w:pPr>
        <w:rPr>
          <w:u w:val="single"/>
        </w:rPr>
      </w:pPr>
    </w:p>
    <w:p w14:paraId="2E8EA987" w14:textId="1660613A" w:rsidR="00420601" w:rsidRDefault="003D7786" w:rsidP="009D1CD7">
      <w:pPr>
        <w:rPr>
          <w:u w:val="single"/>
        </w:rPr>
      </w:pPr>
      <w:r>
        <w:rPr>
          <w:u w:val="single"/>
        </w:rPr>
        <w:t>Graduate Outcomes</w:t>
      </w:r>
      <w:r w:rsidR="00305B97">
        <w:rPr>
          <w:u w:val="single"/>
        </w:rPr>
        <w:t xml:space="preserve"> 2019/20</w:t>
      </w:r>
    </w:p>
    <w:p w14:paraId="0EB02261" w14:textId="77777777" w:rsidR="00747ADE" w:rsidRDefault="007F22F1" w:rsidP="009D1CD7">
      <w:r>
        <w:t>T</w:t>
      </w:r>
      <w:r w:rsidR="00586618">
        <w:t xml:space="preserve">o </w:t>
      </w:r>
      <w:r w:rsidR="00253D0D">
        <w:t xml:space="preserve">assess </w:t>
      </w:r>
      <w:r>
        <w:t>if</w:t>
      </w:r>
      <w:r w:rsidR="00253D0D">
        <w:t xml:space="preserve"> the University </w:t>
      </w:r>
      <w:r w:rsidR="00E275C7">
        <w:t xml:space="preserve">is effectively providing </w:t>
      </w:r>
      <w:r w:rsidR="000A2663">
        <w:t>its students with the skills and knowledge to progress further in education o</w:t>
      </w:r>
      <w:r w:rsidR="00D436AB">
        <w:t>r</w:t>
      </w:r>
      <w:r w:rsidR="000A2663">
        <w:t xml:space="preserve"> the workforce, the Committee annually reviews </w:t>
      </w:r>
      <w:r w:rsidR="00690B5E">
        <w:t>graduate outcomes</w:t>
      </w:r>
      <w:r w:rsidR="000A2663">
        <w:t xml:space="preserve">. </w:t>
      </w:r>
      <w:r w:rsidR="00036937">
        <w:t>Strategically, this is also vital</w:t>
      </w:r>
      <w:r w:rsidR="00385E66">
        <w:t>,</w:t>
      </w:r>
      <w:r w:rsidR="00036937">
        <w:t xml:space="preserve"> as </w:t>
      </w:r>
      <w:r w:rsidR="00036937" w:rsidRPr="00036937">
        <w:t xml:space="preserve">failure to deliver strong </w:t>
      </w:r>
      <w:r w:rsidR="00036937">
        <w:t>g</w:t>
      </w:r>
      <w:r w:rsidR="00036937" w:rsidRPr="00036937">
        <w:t xml:space="preserve">raduate </w:t>
      </w:r>
      <w:r w:rsidR="00036937">
        <w:t>o</w:t>
      </w:r>
      <w:r w:rsidR="00036937" w:rsidRPr="00036937">
        <w:t>utcomes could impact the University’s position in league tables and its ability to recruit students</w:t>
      </w:r>
      <w:r w:rsidR="00036937">
        <w:t xml:space="preserve">. </w:t>
      </w:r>
    </w:p>
    <w:p w14:paraId="73803CE2" w14:textId="77777777" w:rsidR="00747ADE" w:rsidRDefault="00747ADE" w:rsidP="009D1CD7"/>
    <w:p w14:paraId="01394D48" w14:textId="047ABBB8" w:rsidR="00C70880" w:rsidRDefault="000A2663" w:rsidP="009D1CD7">
      <w:r>
        <w:t>The 2019/20 graduate outcomes</w:t>
      </w:r>
      <w:r w:rsidR="00690B5E">
        <w:t xml:space="preserve"> had improved</w:t>
      </w:r>
      <w:r w:rsidR="0091242C">
        <w:t xml:space="preserve"> </w:t>
      </w:r>
      <w:r w:rsidR="000D1CEF">
        <w:t xml:space="preserve">on </w:t>
      </w:r>
      <w:r>
        <w:t>the previous year</w:t>
      </w:r>
      <w:r w:rsidR="00017254">
        <w:t>, indicated in metrics such as:</w:t>
      </w:r>
    </w:p>
    <w:p w14:paraId="70FC7618" w14:textId="33CF85BA" w:rsidR="00017254" w:rsidRPr="00017254" w:rsidRDefault="00017254" w:rsidP="00C21E5F">
      <w:pPr>
        <w:pStyle w:val="ListParagraph"/>
        <w:numPr>
          <w:ilvl w:val="0"/>
          <w:numId w:val="41"/>
        </w:numPr>
        <w:rPr>
          <w:color w:val="000000" w:themeColor="text1"/>
        </w:rPr>
      </w:pPr>
      <w:r w:rsidRPr="00017254">
        <w:rPr>
          <w:color w:val="000000" w:themeColor="text1"/>
          <w:lang w:val="en-US"/>
        </w:rPr>
        <w:t>95.8% in any kind of work or further study, up from 93.1%</w:t>
      </w:r>
    </w:p>
    <w:p w14:paraId="2F773F5D" w14:textId="39D08F22" w:rsidR="003D7786" w:rsidRPr="00186946" w:rsidRDefault="00017254" w:rsidP="00C21E5F">
      <w:pPr>
        <w:pStyle w:val="ListParagraph"/>
        <w:numPr>
          <w:ilvl w:val="0"/>
          <w:numId w:val="41"/>
        </w:numPr>
        <w:rPr>
          <w:color w:val="000000" w:themeColor="text1"/>
        </w:rPr>
      </w:pPr>
      <w:r w:rsidRPr="00017254">
        <w:rPr>
          <w:color w:val="000000" w:themeColor="text1"/>
          <w:lang w:val="en-US"/>
        </w:rPr>
        <w:t>71.4% graduate level outcomes, up from 68.4</w:t>
      </w:r>
    </w:p>
    <w:p w14:paraId="2AAFF0C6" w14:textId="77777777" w:rsidR="00186946" w:rsidRPr="00186946" w:rsidRDefault="00186946" w:rsidP="00186946">
      <w:pPr>
        <w:pStyle w:val="ListParagraph"/>
        <w:ind w:left="360"/>
        <w:rPr>
          <w:color w:val="000000" w:themeColor="text1"/>
        </w:rPr>
      </w:pPr>
    </w:p>
    <w:p w14:paraId="51F88583" w14:textId="450C3006" w:rsidR="006B218F" w:rsidRDefault="00F75474" w:rsidP="00691E76">
      <w:pPr>
        <w:pStyle w:val="Heading1"/>
      </w:pPr>
      <w:r w:rsidRPr="00AA77D6">
        <w:t>Fee &amp; Access Plan</w:t>
      </w:r>
      <w:r w:rsidR="0058639A">
        <w:t xml:space="preserve"> Evaluation</w:t>
      </w:r>
    </w:p>
    <w:p w14:paraId="1028C493" w14:textId="77777777" w:rsidR="00954A78" w:rsidRDefault="0007720E" w:rsidP="004D6C58">
      <w:pPr>
        <w:pStyle w:val="Heading2"/>
        <w:numPr>
          <w:ilvl w:val="0"/>
          <w:numId w:val="0"/>
        </w:numPr>
      </w:pPr>
      <w:r w:rsidRPr="00954A78">
        <w:t xml:space="preserve">All Welsh Universities must annually submit a fee &amp; access plan to </w:t>
      </w:r>
      <w:r w:rsidR="001A2362" w:rsidRPr="00954A78">
        <w:t>HEFCW.</w:t>
      </w:r>
      <w:r w:rsidR="00C262EE" w:rsidRPr="00954A78">
        <w:t xml:space="preserve"> Fee &amp; Access Plans</w:t>
      </w:r>
      <w:r w:rsidR="0004200A" w:rsidRPr="00954A78">
        <w:t xml:space="preserve"> are about making “</w:t>
      </w:r>
      <w:r w:rsidR="00954A78" w:rsidRPr="00954A78">
        <w:t>a significant and lasting contribution to widening access to higher education in Wales”</w:t>
      </w:r>
      <w:r w:rsidR="00954A78" w:rsidRPr="00954A78">
        <w:rPr>
          <w:vertAlign w:val="superscript"/>
        </w:rPr>
        <w:footnoteReference w:id="2"/>
      </w:r>
      <w:r w:rsidR="00954A78" w:rsidRPr="00954A78">
        <w:t xml:space="preserve">, showing how the institution is providing support for disadvantaged groups. </w:t>
      </w:r>
    </w:p>
    <w:p w14:paraId="75FD12B5" w14:textId="36E9C88C" w:rsidR="00C91D2A" w:rsidRDefault="006B7EE4" w:rsidP="001059BC">
      <w:pPr>
        <w:pStyle w:val="Heading2"/>
        <w:numPr>
          <w:ilvl w:val="0"/>
          <w:numId w:val="0"/>
        </w:numPr>
      </w:pPr>
      <w:r>
        <w:t xml:space="preserve">The Committee annually </w:t>
      </w:r>
      <w:r w:rsidR="001059BC">
        <w:t>evaluates</w:t>
      </w:r>
      <w:r>
        <w:t xml:space="preserve"> the Fee &amp; Access Plan, also a </w:t>
      </w:r>
      <w:r w:rsidR="00A31F24">
        <w:t>HEFCW requirement.</w:t>
      </w:r>
      <w:r w:rsidR="00CC12AB">
        <w:t xml:space="preserve"> This year, it was highlighted that </w:t>
      </w:r>
      <w:r w:rsidR="004D6C58" w:rsidRPr="004D6C58">
        <w:t>Cardiff Met remained strong at attracting widening access students</w:t>
      </w:r>
      <w:r w:rsidR="00FE1B79">
        <w:t>, and in areas where it</w:t>
      </w:r>
      <w:r w:rsidR="004D6C58" w:rsidRPr="004D6C58">
        <w:t xml:space="preserve"> been behind target</w:t>
      </w:r>
      <w:r w:rsidR="00FE1B79">
        <w:t xml:space="preserve">, </w:t>
      </w:r>
      <w:r w:rsidR="004D6C58" w:rsidRPr="004D6C58">
        <w:t xml:space="preserve">action plans </w:t>
      </w:r>
      <w:r w:rsidR="00FE1B79">
        <w:t xml:space="preserve">were </w:t>
      </w:r>
      <w:r w:rsidR="004D6C58" w:rsidRPr="004D6C58">
        <w:t>in place.  </w:t>
      </w:r>
    </w:p>
    <w:p w14:paraId="181F8A26" w14:textId="77777777" w:rsidR="00C91D2A" w:rsidRPr="00AA77D6" w:rsidRDefault="00C91D2A" w:rsidP="009C1EF8"/>
    <w:p w14:paraId="2AD7CC25" w14:textId="1088D8AA" w:rsidR="00B6362D" w:rsidRPr="00AA77D6" w:rsidRDefault="00B6362D" w:rsidP="00B6362D">
      <w:pPr>
        <w:pStyle w:val="Heading1"/>
      </w:pPr>
      <w:r w:rsidRPr="00AA77D6">
        <w:t>Academic Assurance</w:t>
      </w:r>
    </w:p>
    <w:p w14:paraId="468C9837" w14:textId="463D8938" w:rsidR="00C6588D" w:rsidRPr="00C6588D" w:rsidRDefault="007C39B6" w:rsidP="009C1EF8">
      <w:pPr>
        <w:rPr>
          <w:u w:val="single"/>
        </w:rPr>
      </w:pPr>
      <w:r w:rsidRPr="00AA77D6">
        <w:rPr>
          <w:u w:val="single"/>
        </w:rPr>
        <w:t>HEFCW Quality Assurance Statements 202</w:t>
      </w:r>
      <w:r w:rsidR="007D5102">
        <w:rPr>
          <w:u w:val="single"/>
        </w:rPr>
        <w:t>1-2022</w:t>
      </w:r>
    </w:p>
    <w:p w14:paraId="69964156" w14:textId="4FCEB603" w:rsidR="00B065AA" w:rsidRPr="00B065AA" w:rsidRDefault="009B409E" w:rsidP="00B065AA">
      <w:r>
        <w:t xml:space="preserve">A key element of the Committee’s </w:t>
      </w:r>
      <w:r w:rsidR="0069582E">
        <w:t xml:space="preserve">delegated responsibility is </w:t>
      </w:r>
      <w:r w:rsidR="0069582E" w:rsidRPr="0069582E">
        <w:t>Governor-level consideration of academic assurance.</w:t>
      </w:r>
      <w:r w:rsidR="0069582E">
        <w:t xml:space="preserve"> </w:t>
      </w:r>
      <w:r w:rsidR="000C107D">
        <w:t>Like with other years, t</w:t>
      </w:r>
      <w:r w:rsidR="00B065AA">
        <w:t xml:space="preserve">he Annual Assurance Report </w:t>
      </w:r>
      <w:r w:rsidR="00CD1812">
        <w:t>was</w:t>
      </w:r>
      <w:r w:rsidR="00B065AA">
        <w:t xml:space="preserve"> framed around </w:t>
      </w:r>
      <w:r w:rsidR="00B065AA" w:rsidRPr="00B065AA">
        <w:t>ten internal assurance</w:t>
      </w:r>
      <w:r w:rsidR="00135854">
        <w:t xml:space="preserve">s, </w:t>
      </w:r>
      <w:r w:rsidR="00B065AA" w:rsidRPr="00B065AA">
        <w:t>mapped to the six Governors’ Assurance Statements and to the expectations of the revised UK Quality Code.</w:t>
      </w:r>
      <w:r w:rsidR="00684B04">
        <w:t xml:space="preserve"> </w:t>
      </w:r>
    </w:p>
    <w:p w14:paraId="43C2FFB0" w14:textId="007E4F17" w:rsidR="00B6362D" w:rsidRPr="00C05C97" w:rsidRDefault="008D4B4B" w:rsidP="009C1EF8">
      <w:r>
        <w:t>T</w:t>
      </w:r>
      <w:r w:rsidR="00E7196C">
        <w:t>he Annual Assurance Statement was reflective of</w:t>
      </w:r>
      <w:r w:rsidR="007543D7">
        <w:t xml:space="preserve"> a successful visit to the University by HEFCW in Sprin</w:t>
      </w:r>
      <w:r w:rsidR="00E7196C">
        <w:t>g</w:t>
      </w:r>
      <w:r w:rsidR="007543D7">
        <w:t xml:space="preserve"> 2022, the Triennial Assurance Review</w:t>
      </w:r>
      <w:r>
        <w:t xml:space="preserve">. </w:t>
      </w:r>
      <w:r w:rsidRPr="00C05C97">
        <w:t>It was confirmed by HEFCW that it was assured regarding all six of the quality statement</w:t>
      </w:r>
      <w:r>
        <w:t>s:</w:t>
      </w:r>
    </w:p>
    <w:p w14:paraId="079C1C39" w14:textId="77777777" w:rsidR="006E31B4" w:rsidRPr="00C05C97" w:rsidRDefault="006E31B4" w:rsidP="00C21E5F">
      <w:pPr>
        <w:numPr>
          <w:ilvl w:val="0"/>
          <w:numId w:val="6"/>
        </w:numPr>
        <w:tabs>
          <w:tab w:val="clear" w:pos="720"/>
          <w:tab w:val="num" w:pos="360"/>
        </w:tabs>
        <w:ind w:left="360"/>
      </w:pPr>
      <w:r w:rsidRPr="00C05C97">
        <w:lastRenderedPageBreak/>
        <w:t>The Governing Body has received a report taking account of the external quality assurance review, and an action plan had been put in place and implemented as appropriate, in partnership with the student body. </w:t>
      </w:r>
    </w:p>
    <w:p w14:paraId="0AF37893" w14:textId="77777777" w:rsidR="006E31B4" w:rsidRPr="00C05C97" w:rsidRDefault="006E31B4" w:rsidP="00C21E5F">
      <w:pPr>
        <w:numPr>
          <w:ilvl w:val="0"/>
          <w:numId w:val="7"/>
        </w:numPr>
        <w:tabs>
          <w:tab w:val="clear" w:pos="720"/>
          <w:tab w:val="num" w:pos="360"/>
        </w:tabs>
        <w:ind w:left="360"/>
      </w:pPr>
      <w:r w:rsidRPr="00C05C97">
        <w:t>The methodologies used as a basis to improve the student academic experience and student outcomes, to the best of our knowledge, robust and appropriate. </w:t>
      </w:r>
    </w:p>
    <w:p w14:paraId="396545EB" w14:textId="77777777" w:rsidR="006E31B4" w:rsidRPr="00C05C97" w:rsidRDefault="006E31B4" w:rsidP="00C21E5F">
      <w:pPr>
        <w:numPr>
          <w:ilvl w:val="0"/>
          <w:numId w:val="8"/>
        </w:numPr>
        <w:tabs>
          <w:tab w:val="clear" w:pos="720"/>
          <w:tab w:val="num" w:pos="360"/>
        </w:tabs>
        <w:ind w:left="360"/>
      </w:pPr>
      <w:r w:rsidRPr="00C05C97">
        <w:t>The standards of awards for which we are responsible have been appropriately set and maintained. </w:t>
      </w:r>
    </w:p>
    <w:p w14:paraId="7D3809C8" w14:textId="77777777" w:rsidR="006E31B4" w:rsidRPr="00C05C97" w:rsidRDefault="006E31B4" w:rsidP="00C21E5F">
      <w:pPr>
        <w:numPr>
          <w:ilvl w:val="0"/>
          <w:numId w:val="9"/>
        </w:numPr>
        <w:tabs>
          <w:tab w:val="clear" w:pos="720"/>
          <w:tab w:val="num" w:pos="360"/>
        </w:tabs>
        <w:ind w:left="360"/>
      </w:pPr>
      <w:r w:rsidRPr="00C05C97">
        <w:t>The governing body has considered a report on the annual dialogue between the institution and the student union or equivalent, scrutinised student survey outcomes and confirmed that action plans have been put in place and implemented, in partnership with the student body. </w:t>
      </w:r>
    </w:p>
    <w:p w14:paraId="69DC2D72" w14:textId="77777777" w:rsidR="006E31B4" w:rsidRPr="00C05C97" w:rsidRDefault="006E31B4" w:rsidP="00C21E5F">
      <w:pPr>
        <w:numPr>
          <w:ilvl w:val="0"/>
          <w:numId w:val="10"/>
        </w:numPr>
        <w:tabs>
          <w:tab w:val="clear" w:pos="720"/>
          <w:tab w:val="num" w:pos="360"/>
        </w:tabs>
        <w:ind w:left="360"/>
      </w:pPr>
      <w:r w:rsidRPr="00C05C97">
        <w:t>The governing body has received a copy of the relationship agreement between the institution and the student union or equivalent, and a copy of the student charter, both of which have been reviewed within the past year. </w:t>
      </w:r>
    </w:p>
    <w:p w14:paraId="44DCAC1D" w14:textId="434B8A43" w:rsidR="007543D7" w:rsidRPr="007543D7" w:rsidRDefault="006E31B4" w:rsidP="009B409E">
      <w:pPr>
        <w:numPr>
          <w:ilvl w:val="0"/>
          <w:numId w:val="11"/>
        </w:numPr>
        <w:tabs>
          <w:tab w:val="clear" w:pos="720"/>
          <w:tab w:val="num" w:pos="360"/>
        </w:tabs>
        <w:ind w:left="360"/>
      </w:pPr>
      <w:r w:rsidRPr="00C05C97">
        <w:t>The governing body has effective oversight of degree outcomes and academic integrity. </w:t>
      </w:r>
    </w:p>
    <w:p w14:paraId="10D1BB4B" w14:textId="77777777" w:rsidR="00747ADE" w:rsidRDefault="00747ADE" w:rsidP="009B409E">
      <w:pPr>
        <w:rPr>
          <w:u w:val="single"/>
        </w:rPr>
      </w:pPr>
    </w:p>
    <w:p w14:paraId="28000099" w14:textId="19ACAF67" w:rsidR="009B409E" w:rsidRPr="009B409E" w:rsidRDefault="009B409E" w:rsidP="009B409E">
      <w:pPr>
        <w:rPr>
          <w:u w:val="single"/>
        </w:rPr>
      </w:pPr>
      <w:r w:rsidRPr="009B409E">
        <w:rPr>
          <w:u w:val="single"/>
        </w:rPr>
        <w:t>Spring &amp; Summer Quality Assurance</w:t>
      </w:r>
    </w:p>
    <w:p w14:paraId="627E729E" w14:textId="1C6E43A6" w:rsidR="009B409E" w:rsidRPr="009B409E" w:rsidRDefault="009B409E" w:rsidP="009B409E">
      <w:r>
        <w:t xml:space="preserve">The Committee also received spring &amp; summer QA updates, which </w:t>
      </w:r>
      <w:r w:rsidRPr="00CD60D5">
        <w:t>summarised the progress of activities relating to external review and sector QA developments</w:t>
      </w:r>
      <w:r>
        <w:t>.</w:t>
      </w:r>
    </w:p>
    <w:p w14:paraId="7BD93EB9" w14:textId="77777777" w:rsidR="0056404C" w:rsidRDefault="0056404C" w:rsidP="009C1EF8">
      <w:pPr>
        <w:rPr>
          <w:u w:val="single"/>
        </w:rPr>
      </w:pPr>
    </w:p>
    <w:p w14:paraId="21A487DE" w14:textId="5B202932" w:rsidR="006E31B4" w:rsidRDefault="007C39B6" w:rsidP="009C1EF8">
      <w:pPr>
        <w:rPr>
          <w:u w:val="single"/>
        </w:rPr>
      </w:pPr>
      <w:r w:rsidRPr="0056404C">
        <w:rPr>
          <w:u w:val="single"/>
        </w:rPr>
        <w:t>Degree Outcome Statement 20</w:t>
      </w:r>
      <w:r w:rsidR="00233189" w:rsidRPr="0056404C">
        <w:rPr>
          <w:u w:val="single"/>
        </w:rPr>
        <w:t>20/2021</w:t>
      </w:r>
    </w:p>
    <w:p w14:paraId="79419D5F" w14:textId="5B875A66" w:rsidR="007D51E1" w:rsidRDefault="00FF6153" w:rsidP="009C1EF8">
      <w:r w:rsidRPr="00FF6153">
        <w:t xml:space="preserve">The Degree Outcome Statement evaluates the University’s degree classification distribution, ensuring that it aligns with national degree standards. The Committee receives this report each year before submitting it to HEFCW, </w:t>
      </w:r>
      <w:proofErr w:type="gramStart"/>
      <w:r w:rsidR="00AF02BC">
        <w:t>and</w:t>
      </w:r>
      <w:r w:rsidR="007D51E1">
        <w:t xml:space="preserve"> also</w:t>
      </w:r>
      <w:proofErr w:type="gramEnd"/>
      <w:r w:rsidR="007D51E1">
        <w:t xml:space="preserve"> </w:t>
      </w:r>
      <w:r w:rsidRPr="00FF6153">
        <w:t>assess</w:t>
      </w:r>
      <w:r w:rsidR="007D51E1">
        <w:t>es</w:t>
      </w:r>
      <w:r w:rsidRPr="00FF6153">
        <w:t xml:space="preserve"> the University’s efforts to enhance best practices.</w:t>
      </w:r>
      <w:r w:rsidR="001F08BB">
        <w:t xml:space="preserve"> </w:t>
      </w:r>
      <w:r w:rsidR="007D51E1">
        <w:t>In 2020/21 key metrics included:</w:t>
      </w:r>
    </w:p>
    <w:p w14:paraId="6AD02933" w14:textId="7813FDFB" w:rsidR="00A3677C" w:rsidRDefault="00C7168E" w:rsidP="00C21E5F">
      <w:pPr>
        <w:pStyle w:val="ListParagraph"/>
        <w:numPr>
          <w:ilvl w:val="0"/>
          <w:numId w:val="42"/>
        </w:numPr>
        <w:rPr>
          <w:color w:val="000000" w:themeColor="text1"/>
        </w:rPr>
      </w:pPr>
      <w:r w:rsidRPr="00C7168E">
        <w:rPr>
          <w:color w:val="000000" w:themeColor="text1"/>
        </w:rPr>
        <w:t>84.5% of students achieved Good Honours</w:t>
      </w:r>
      <w:r>
        <w:rPr>
          <w:color w:val="000000" w:themeColor="text1"/>
        </w:rPr>
        <w:t>, t</w:t>
      </w:r>
      <w:r w:rsidRPr="00C7168E">
        <w:rPr>
          <w:color w:val="000000" w:themeColor="text1"/>
        </w:rPr>
        <w:t>his pattern was in line with the sector with an average in 2020/21 of 82% Good Honours. </w:t>
      </w:r>
    </w:p>
    <w:p w14:paraId="6AC37674" w14:textId="65DBC427" w:rsidR="0056404C" w:rsidRDefault="004C6FBA" w:rsidP="00C21E5F">
      <w:pPr>
        <w:pStyle w:val="ListParagraph"/>
        <w:numPr>
          <w:ilvl w:val="0"/>
          <w:numId w:val="42"/>
        </w:numPr>
        <w:rPr>
          <w:color w:val="000000" w:themeColor="text1"/>
        </w:rPr>
      </w:pPr>
      <w:r w:rsidRPr="004C6FBA">
        <w:rPr>
          <w:color w:val="000000" w:themeColor="text1"/>
        </w:rPr>
        <w:t>The University had seen an increase in First-Class degrees due to the No-Detriment Policies put in place during the COVID-19 pandemic, and this was now above the sector average.</w:t>
      </w:r>
    </w:p>
    <w:p w14:paraId="1C14D031" w14:textId="77777777" w:rsidR="00C05C97" w:rsidRPr="00C05C97" w:rsidRDefault="00C05C97" w:rsidP="00C05C97"/>
    <w:p w14:paraId="19718AF1" w14:textId="1450E17B" w:rsidR="00CC61D4" w:rsidRDefault="00C05C97" w:rsidP="00C05C97">
      <w:pPr>
        <w:pStyle w:val="Heading1"/>
      </w:pPr>
      <w:r>
        <w:t>Complaints and Conduct</w:t>
      </w:r>
    </w:p>
    <w:p w14:paraId="47C29077" w14:textId="2D1A2136" w:rsidR="001D3CA3" w:rsidRPr="001D3CA3" w:rsidRDefault="001D3CA3" w:rsidP="001D3CA3">
      <w:pPr>
        <w:rPr>
          <w:lang w:eastAsia="en-US"/>
        </w:rPr>
      </w:pPr>
      <w:r>
        <w:rPr>
          <w:lang w:eastAsia="en-US"/>
        </w:rPr>
        <w:t>The Committee reviews complaints and conduct</w:t>
      </w:r>
      <w:r w:rsidR="00FA065D">
        <w:rPr>
          <w:lang w:eastAsia="en-US"/>
        </w:rPr>
        <w:t xml:space="preserve"> </w:t>
      </w:r>
      <w:r w:rsidR="00FA065D" w:rsidRPr="00E662DF">
        <w:rPr>
          <w:lang w:eastAsia="en-US"/>
        </w:rPr>
        <w:t>through an annual complaints and conduct report, and the OIA Annual Statement.</w:t>
      </w:r>
      <w:r w:rsidR="00D64D68" w:rsidRPr="00E662DF">
        <w:rPr>
          <w:lang w:eastAsia="en-US"/>
        </w:rPr>
        <w:t xml:space="preserve"> Through this, the Committee can</w:t>
      </w:r>
      <w:r w:rsidR="00E662DF">
        <w:rPr>
          <w:lang w:eastAsia="en-US"/>
        </w:rPr>
        <w:t xml:space="preserve"> ensure that the University is meetings obligation to provide a </w:t>
      </w:r>
      <w:r w:rsidR="00FB600D">
        <w:rPr>
          <w:lang w:eastAsia="en-US"/>
        </w:rPr>
        <w:t>positive learning</w:t>
      </w:r>
      <w:r w:rsidR="00DB011B">
        <w:rPr>
          <w:lang w:eastAsia="en-US"/>
        </w:rPr>
        <w:t xml:space="preserve"> </w:t>
      </w:r>
      <w:r w:rsidR="00FB600D">
        <w:rPr>
          <w:lang w:eastAsia="en-US"/>
        </w:rPr>
        <w:t>environment</w:t>
      </w:r>
      <w:r w:rsidR="006D40F6">
        <w:rPr>
          <w:lang w:eastAsia="en-US"/>
        </w:rPr>
        <w:t xml:space="preserve"> </w:t>
      </w:r>
      <w:r w:rsidR="00DB011B">
        <w:rPr>
          <w:lang w:eastAsia="en-US"/>
        </w:rPr>
        <w:t xml:space="preserve">for </w:t>
      </w:r>
      <w:r w:rsidR="006D40F6">
        <w:rPr>
          <w:lang w:eastAsia="en-US"/>
        </w:rPr>
        <w:t xml:space="preserve">all students. </w:t>
      </w:r>
    </w:p>
    <w:p w14:paraId="55F1E27A" w14:textId="73C8B460" w:rsidR="00A33EA3" w:rsidRDefault="00A33EA3" w:rsidP="00691E76">
      <w:pPr>
        <w:rPr>
          <w:u w:val="single"/>
        </w:rPr>
      </w:pPr>
      <w:r>
        <w:rPr>
          <w:u w:val="single"/>
        </w:rPr>
        <w:t>Complaints &amp; Conduct</w:t>
      </w:r>
      <w:r w:rsidR="00F51077">
        <w:rPr>
          <w:u w:val="single"/>
        </w:rPr>
        <w:t xml:space="preserve"> 2021-22</w:t>
      </w:r>
    </w:p>
    <w:p w14:paraId="72B50B0F" w14:textId="3DDEE515" w:rsidR="00233189" w:rsidRDefault="00FA065D" w:rsidP="00691E76">
      <w:r w:rsidRPr="002460DC">
        <w:t xml:space="preserve">The </w:t>
      </w:r>
      <w:r w:rsidR="008F6067" w:rsidRPr="002460DC">
        <w:t>A</w:t>
      </w:r>
      <w:r w:rsidRPr="002460DC">
        <w:t xml:space="preserve">nnual Complaints &amp; Conduct </w:t>
      </w:r>
      <w:r w:rsidR="008F6067" w:rsidRPr="002460DC">
        <w:t>R</w:t>
      </w:r>
      <w:r w:rsidRPr="002460DC">
        <w:t>eport</w:t>
      </w:r>
      <w:r w:rsidR="008C4C64" w:rsidRPr="002460DC">
        <w:t xml:space="preserve"> </w:t>
      </w:r>
      <w:r w:rsidR="008F6067" w:rsidRPr="002460DC">
        <w:t>highlights</w:t>
      </w:r>
      <w:r w:rsidR="008C4C64" w:rsidRPr="002460DC">
        <w:t xml:space="preserve"> trends or significant areas of concern that nee</w:t>
      </w:r>
      <w:r w:rsidR="008F6067" w:rsidRPr="002460DC">
        <w:t>d</w:t>
      </w:r>
      <w:r w:rsidR="008C4C64" w:rsidRPr="002460DC">
        <w:t xml:space="preserve"> to be addressed</w:t>
      </w:r>
      <w:r w:rsidR="00FB4850" w:rsidRPr="002460DC">
        <w:t xml:space="preserve">. This aids in ensuring the </w:t>
      </w:r>
      <w:r w:rsidR="008C4C64" w:rsidRPr="002460DC">
        <w:t xml:space="preserve">University </w:t>
      </w:r>
      <w:r w:rsidR="00FB4850" w:rsidRPr="002460DC">
        <w:t>can</w:t>
      </w:r>
      <w:r w:rsidR="008C4C64" w:rsidRPr="002460DC">
        <w:t xml:space="preserve"> continually </w:t>
      </w:r>
      <w:r w:rsidR="008C4C64" w:rsidRPr="002460DC">
        <w:lastRenderedPageBreak/>
        <w:t xml:space="preserve">improve its programmes, support services and </w:t>
      </w:r>
      <w:r w:rsidR="00FB4850" w:rsidRPr="002460DC">
        <w:t>administration</w:t>
      </w:r>
      <w:r w:rsidR="008C4C64" w:rsidRPr="002460DC">
        <w:t>.</w:t>
      </w:r>
      <w:r w:rsidR="00C54C85" w:rsidRPr="002460DC">
        <w:t xml:space="preserve"> </w:t>
      </w:r>
      <w:r w:rsidR="002460DC" w:rsidRPr="002460DC">
        <w:t>In the academic year 2021-22, it was found that f</w:t>
      </w:r>
      <w:r w:rsidR="00C54C85" w:rsidRPr="002460DC">
        <w:t>or the size of the University, and the complexity of the student experience, the level of complaints received were in-line or below sector average.</w:t>
      </w:r>
    </w:p>
    <w:p w14:paraId="20FB0218" w14:textId="77777777" w:rsidR="00233189" w:rsidRPr="00D11B4A" w:rsidRDefault="00233189" w:rsidP="00691E76"/>
    <w:p w14:paraId="5FB1B084" w14:textId="77777777" w:rsidR="00487907" w:rsidRDefault="00487907" w:rsidP="00691E76"/>
    <w:p w14:paraId="69D22E53" w14:textId="53B2A5E5" w:rsidR="003A2A61" w:rsidRPr="00AA77D6" w:rsidRDefault="00CE667E" w:rsidP="00691E76">
      <w:r w:rsidRPr="00AA77D6">
        <w:rPr>
          <w:b/>
          <w:bCs/>
        </w:rPr>
        <w:t>John Taylor</w:t>
      </w:r>
      <w:r w:rsidR="003A2A61" w:rsidRPr="00AA77D6">
        <w:br/>
        <w:t xml:space="preserve">Chair of </w:t>
      </w:r>
      <w:r w:rsidRPr="00AA77D6">
        <w:t>Strategic Planning &amp; Performance Committee</w:t>
      </w:r>
    </w:p>
    <w:p w14:paraId="1EC311D2" w14:textId="355777B0" w:rsidR="004918D0" w:rsidRPr="00AA77D6" w:rsidRDefault="000D2FC6" w:rsidP="00691E76">
      <w:r>
        <w:t>December</w:t>
      </w:r>
      <w:r w:rsidR="007D5102">
        <w:t xml:space="preserve"> 2023</w:t>
      </w:r>
      <w:r w:rsidR="004918D0" w:rsidRPr="00AA77D6">
        <w:br w:type="page"/>
      </w:r>
    </w:p>
    <w:p w14:paraId="5FFCF0A0" w14:textId="6CCE6D8B" w:rsidR="005F23B5" w:rsidRPr="004918D0" w:rsidRDefault="004918D0" w:rsidP="00460F24">
      <w:pPr>
        <w:pStyle w:val="Heading1"/>
        <w:numPr>
          <w:ilvl w:val="0"/>
          <w:numId w:val="0"/>
        </w:numPr>
        <w:ind w:left="432" w:hanging="432"/>
      </w:pPr>
      <w:bookmarkStart w:id="7" w:name="_Appendix_1"/>
      <w:bookmarkEnd w:id="7"/>
      <w:r w:rsidRPr="004918D0">
        <w:lastRenderedPageBreak/>
        <w:t>Appendix 1</w:t>
      </w:r>
    </w:p>
    <w:p w14:paraId="464D6ED3" w14:textId="04B0D596" w:rsidR="004918D0" w:rsidRDefault="00CE667E" w:rsidP="00460F24">
      <w:r>
        <w:t>Strategic Planning &amp; Performance</w:t>
      </w:r>
      <w:r w:rsidR="004918D0">
        <w:t xml:space="preserve"> Committee Terms of Reference 202</w:t>
      </w:r>
      <w:r w:rsidR="00884CC9">
        <w:t>2</w:t>
      </w:r>
      <w:r w:rsidR="00DA3526">
        <w:t>-202</w:t>
      </w:r>
      <w:r w:rsidR="00884CC9">
        <w:t>3</w:t>
      </w:r>
    </w:p>
    <w:p w14:paraId="2AD32717" w14:textId="77777777" w:rsidR="008E3D2E" w:rsidRDefault="008E3D2E" w:rsidP="00460F24"/>
    <w:p w14:paraId="1D50FBB0" w14:textId="77777777" w:rsidR="00D1176B" w:rsidRPr="00D1176B" w:rsidRDefault="00D1176B" w:rsidP="00D1176B">
      <w:pPr>
        <w:tabs>
          <w:tab w:val="left" w:pos="8064"/>
        </w:tabs>
        <w:rPr>
          <w:b/>
        </w:rPr>
      </w:pPr>
      <w:r w:rsidRPr="00D1176B">
        <w:rPr>
          <w:b/>
        </w:rPr>
        <w:t xml:space="preserve">Committee Terms of Reference:  </w:t>
      </w:r>
    </w:p>
    <w:p w14:paraId="46D44C27" w14:textId="77777777" w:rsidR="00D1176B" w:rsidRPr="00D1176B" w:rsidRDefault="00D1176B" w:rsidP="00D1176B">
      <w:pPr>
        <w:tabs>
          <w:tab w:val="left" w:pos="8064"/>
        </w:tabs>
        <w:rPr>
          <w:b/>
        </w:rPr>
      </w:pPr>
      <w:r w:rsidRPr="00D1176B">
        <w:rPr>
          <w:b/>
        </w:rPr>
        <w:t xml:space="preserve">STRATEGIC PLANNING AND PERFORMANCE COMMITTEE </w:t>
      </w:r>
    </w:p>
    <w:p w14:paraId="597A5D5E" w14:textId="77777777" w:rsidR="00D1176B" w:rsidRPr="00D1176B" w:rsidRDefault="00D1176B" w:rsidP="00D1176B">
      <w:pPr>
        <w:tabs>
          <w:tab w:val="left" w:pos="8064"/>
        </w:tabs>
        <w:rPr>
          <w:b/>
          <w:u w:val="single"/>
        </w:rPr>
      </w:pPr>
    </w:p>
    <w:p w14:paraId="465CB9E3" w14:textId="77777777" w:rsidR="00D1176B" w:rsidRPr="00D1176B" w:rsidRDefault="00D1176B" w:rsidP="00D1176B">
      <w:pPr>
        <w:tabs>
          <w:tab w:val="left" w:pos="8064"/>
        </w:tabs>
        <w:rPr>
          <w:bCs/>
        </w:rPr>
      </w:pPr>
      <w:r w:rsidRPr="00D1176B">
        <w:rPr>
          <w:bCs/>
          <w:u w:val="single"/>
        </w:rPr>
        <w:t>Reports to:</w:t>
      </w:r>
      <w:r w:rsidRPr="00D1176B">
        <w:rPr>
          <w:bCs/>
        </w:rPr>
        <w:t xml:space="preserve"> the Board of Governors  </w:t>
      </w:r>
    </w:p>
    <w:p w14:paraId="6E541207" w14:textId="77777777" w:rsidR="00D1176B" w:rsidRPr="00D1176B" w:rsidRDefault="00D1176B" w:rsidP="00D1176B">
      <w:pPr>
        <w:tabs>
          <w:tab w:val="left" w:pos="8064"/>
        </w:tabs>
        <w:rPr>
          <w:bCs/>
        </w:rPr>
      </w:pPr>
      <w:r w:rsidRPr="00D1176B">
        <w:rPr>
          <w:bCs/>
          <w:u w:val="single"/>
        </w:rPr>
        <w:t>Occurrence:</w:t>
      </w:r>
      <w:r w:rsidRPr="00D1176B">
        <w:rPr>
          <w:bCs/>
        </w:rPr>
        <w:t xml:space="preserve"> up to 5 meetings a year, with additional meetings scheduled as required   </w:t>
      </w:r>
    </w:p>
    <w:p w14:paraId="2A448B35" w14:textId="77777777" w:rsidR="00D1176B" w:rsidRPr="00D1176B" w:rsidRDefault="00D1176B" w:rsidP="00D1176B">
      <w:pPr>
        <w:tabs>
          <w:tab w:val="left" w:pos="8064"/>
        </w:tabs>
        <w:rPr>
          <w:bCs/>
        </w:rPr>
      </w:pPr>
      <w:r w:rsidRPr="00D1176B">
        <w:rPr>
          <w:bCs/>
          <w:i/>
          <w:iCs/>
        </w:rPr>
        <w:t>Terms of reference last revised: November 2021; and next due for review: September 2023</w:t>
      </w:r>
    </w:p>
    <w:p w14:paraId="229D430D" w14:textId="77777777" w:rsidR="00D1176B" w:rsidRPr="00D1176B" w:rsidRDefault="00D1176B" w:rsidP="00D1176B">
      <w:pPr>
        <w:tabs>
          <w:tab w:val="left" w:pos="8064"/>
        </w:tabs>
        <w:rPr>
          <w:bCs/>
        </w:rPr>
      </w:pPr>
    </w:p>
    <w:tbl>
      <w:tblPr>
        <w:tblW w:w="9614" w:type="dxa"/>
        <w:tblInd w:w="19" w:type="dxa"/>
        <w:tblCellMar>
          <w:top w:w="48" w:type="dxa"/>
          <w:right w:w="322" w:type="dxa"/>
        </w:tblCellMar>
        <w:tblLook w:val="04A0" w:firstRow="1" w:lastRow="0" w:firstColumn="1" w:lastColumn="0" w:noHBand="0" w:noVBand="1"/>
      </w:tblPr>
      <w:tblGrid>
        <w:gridCol w:w="4586"/>
        <w:gridCol w:w="5028"/>
      </w:tblGrid>
      <w:tr w:rsidR="00D1176B" w:rsidRPr="00D1176B" w14:paraId="64C2182E" w14:textId="77777777" w:rsidTr="007D52FD">
        <w:trPr>
          <w:trHeight w:val="4356"/>
        </w:trPr>
        <w:tc>
          <w:tcPr>
            <w:tcW w:w="4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2188D" w14:textId="77777777" w:rsidR="00D1176B" w:rsidRPr="00D1176B" w:rsidRDefault="00D1176B" w:rsidP="00D1176B">
            <w:pPr>
              <w:tabs>
                <w:tab w:val="left" w:pos="8064"/>
              </w:tabs>
              <w:rPr>
                <w:bCs/>
              </w:rPr>
            </w:pPr>
            <w:r w:rsidRPr="00D1176B">
              <w:rPr>
                <w:bCs/>
                <w:u w:val="single"/>
              </w:rPr>
              <w:t>Members:</w:t>
            </w:r>
            <w:r w:rsidRPr="00D1176B">
              <w:rPr>
                <w:bCs/>
              </w:rPr>
              <w:t xml:space="preserve"> </w:t>
            </w:r>
          </w:p>
          <w:p w14:paraId="65148FFE" w14:textId="77777777" w:rsidR="00D1176B" w:rsidRPr="00D1176B" w:rsidRDefault="00D1176B" w:rsidP="00D1176B">
            <w:pPr>
              <w:tabs>
                <w:tab w:val="left" w:pos="8064"/>
              </w:tabs>
              <w:rPr>
                <w:bCs/>
              </w:rPr>
            </w:pPr>
            <w:r w:rsidRPr="00D1176B">
              <w:rPr>
                <w:bCs/>
              </w:rPr>
              <w:t xml:space="preserve">John Taylor (Chair) </w:t>
            </w:r>
          </w:p>
          <w:p w14:paraId="60E4FB02" w14:textId="77777777" w:rsidR="00D1176B" w:rsidRPr="00D1176B" w:rsidRDefault="00D1176B" w:rsidP="00D1176B">
            <w:pPr>
              <w:tabs>
                <w:tab w:val="left" w:pos="8064"/>
              </w:tabs>
              <w:rPr>
                <w:bCs/>
              </w:rPr>
            </w:pPr>
            <w:r w:rsidRPr="00D1176B">
              <w:rPr>
                <w:bCs/>
              </w:rPr>
              <w:t xml:space="preserve">Nick Capaldi </w:t>
            </w:r>
          </w:p>
          <w:p w14:paraId="4B7E5F9B" w14:textId="77777777" w:rsidR="00D1176B" w:rsidRPr="00D1176B" w:rsidRDefault="00D1176B" w:rsidP="00D1176B">
            <w:pPr>
              <w:tabs>
                <w:tab w:val="left" w:pos="8064"/>
              </w:tabs>
              <w:rPr>
                <w:bCs/>
              </w:rPr>
            </w:pPr>
            <w:r w:rsidRPr="00D1176B">
              <w:rPr>
                <w:bCs/>
              </w:rPr>
              <w:t>Roisin Connolly</w:t>
            </w:r>
          </w:p>
          <w:p w14:paraId="4A269C05" w14:textId="77777777" w:rsidR="00D1176B" w:rsidRPr="00D1176B" w:rsidRDefault="00D1176B" w:rsidP="00D1176B">
            <w:pPr>
              <w:tabs>
                <w:tab w:val="left" w:pos="8064"/>
              </w:tabs>
              <w:rPr>
                <w:bCs/>
              </w:rPr>
            </w:pPr>
            <w:r w:rsidRPr="00D1176B">
              <w:rPr>
                <w:bCs/>
              </w:rPr>
              <w:t xml:space="preserve">Paul Matthews </w:t>
            </w:r>
          </w:p>
          <w:p w14:paraId="463C3612" w14:textId="77777777" w:rsidR="00D1176B" w:rsidRPr="00D1176B" w:rsidRDefault="00D1176B" w:rsidP="00D1176B">
            <w:pPr>
              <w:tabs>
                <w:tab w:val="left" w:pos="8064"/>
              </w:tabs>
              <w:rPr>
                <w:bCs/>
              </w:rPr>
            </w:pPr>
            <w:r w:rsidRPr="00D1176B">
              <w:rPr>
                <w:bCs/>
              </w:rPr>
              <w:t>Professor Myra Nimmo</w:t>
            </w:r>
          </w:p>
          <w:p w14:paraId="0EF32A9B" w14:textId="77777777" w:rsidR="00D1176B" w:rsidRPr="00D1176B" w:rsidRDefault="00D1176B" w:rsidP="00D1176B">
            <w:pPr>
              <w:tabs>
                <w:tab w:val="left" w:pos="8064"/>
              </w:tabs>
              <w:rPr>
                <w:bCs/>
              </w:rPr>
            </w:pPr>
            <w:r w:rsidRPr="00D1176B">
              <w:rPr>
                <w:bCs/>
              </w:rPr>
              <w:t>Chris Turner</w:t>
            </w:r>
          </w:p>
          <w:p w14:paraId="21B63C86" w14:textId="77777777" w:rsidR="00D1176B" w:rsidRPr="00D1176B" w:rsidRDefault="00D1176B" w:rsidP="00D1176B">
            <w:pPr>
              <w:tabs>
                <w:tab w:val="left" w:pos="8064"/>
              </w:tabs>
              <w:rPr>
                <w:bCs/>
              </w:rPr>
            </w:pPr>
            <w:r w:rsidRPr="00D1176B">
              <w:rPr>
                <w:bCs/>
              </w:rPr>
              <w:t>Professor Cara Aitchison (President and Vice-</w:t>
            </w:r>
          </w:p>
          <w:p w14:paraId="673CADB4" w14:textId="77777777" w:rsidR="00D1176B" w:rsidRPr="00D1176B" w:rsidRDefault="00D1176B" w:rsidP="00D1176B">
            <w:pPr>
              <w:tabs>
                <w:tab w:val="left" w:pos="8064"/>
              </w:tabs>
              <w:rPr>
                <w:bCs/>
              </w:rPr>
            </w:pPr>
            <w:r w:rsidRPr="00D1176B">
              <w:rPr>
                <w:bCs/>
              </w:rPr>
              <w:t xml:space="preserve">Chancellor) </w:t>
            </w:r>
          </w:p>
          <w:p w14:paraId="1DE0C81B" w14:textId="77777777" w:rsidR="00D1176B" w:rsidRPr="00D1176B" w:rsidRDefault="00D1176B" w:rsidP="00D1176B">
            <w:pPr>
              <w:tabs>
                <w:tab w:val="left" w:pos="8064"/>
              </w:tabs>
              <w:rPr>
                <w:bCs/>
              </w:rPr>
            </w:pPr>
            <w:r w:rsidRPr="00D1176B">
              <w:rPr>
                <w:bCs/>
              </w:rPr>
              <w:t>SU President (Community &amp; Affairs)</w:t>
            </w:r>
          </w:p>
          <w:p w14:paraId="536974FF" w14:textId="77777777" w:rsidR="00D1176B" w:rsidRPr="00D1176B" w:rsidRDefault="00D1176B" w:rsidP="00D1176B">
            <w:pPr>
              <w:tabs>
                <w:tab w:val="left" w:pos="8064"/>
              </w:tabs>
              <w:rPr>
                <w:bCs/>
              </w:rPr>
            </w:pPr>
            <w:r w:rsidRPr="00D1176B">
              <w:rPr>
                <w:bCs/>
                <w:u w:val="single"/>
              </w:rPr>
              <w:t>Quorum</w:t>
            </w:r>
            <w:r w:rsidRPr="00D1176B">
              <w:rPr>
                <w:bCs/>
              </w:rPr>
              <w:t xml:space="preserve">: 4 members, at least 3 of which must be Independent or Co-opted Governors </w:t>
            </w:r>
          </w:p>
        </w:tc>
        <w:tc>
          <w:tcPr>
            <w:tcW w:w="5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A3587" w14:textId="77777777" w:rsidR="00D1176B" w:rsidRPr="00D1176B" w:rsidRDefault="00D1176B" w:rsidP="00D1176B">
            <w:pPr>
              <w:tabs>
                <w:tab w:val="left" w:pos="8064"/>
              </w:tabs>
              <w:rPr>
                <w:bCs/>
              </w:rPr>
            </w:pPr>
            <w:r w:rsidRPr="00D1176B">
              <w:rPr>
                <w:bCs/>
                <w:u w:val="single"/>
              </w:rPr>
              <w:t>In attendance:</w:t>
            </w:r>
            <w:r w:rsidRPr="00D1176B">
              <w:rPr>
                <w:bCs/>
              </w:rPr>
              <w:t xml:space="preserve"> </w:t>
            </w:r>
          </w:p>
          <w:p w14:paraId="75A43C2E" w14:textId="77777777" w:rsidR="00D1176B" w:rsidRPr="00D1176B" w:rsidRDefault="00D1176B" w:rsidP="00D1176B">
            <w:pPr>
              <w:tabs>
                <w:tab w:val="left" w:pos="8064"/>
              </w:tabs>
              <w:rPr>
                <w:bCs/>
              </w:rPr>
            </w:pPr>
            <w:r w:rsidRPr="00D1176B">
              <w:rPr>
                <w:bCs/>
              </w:rPr>
              <w:t xml:space="preserve">University Secretary and Clerk to the Board of </w:t>
            </w:r>
          </w:p>
          <w:p w14:paraId="38A59D22" w14:textId="77777777" w:rsidR="00D1176B" w:rsidRPr="00D1176B" w:rsidRDefault="00D1176B" w:rsidP="00D1176B">
            <w:pPr>
              <w:tabs>
                <w:tab w:val="left" w:pos="8064"/>
              </w:tabs>
              <w:rPr>
                <w:bCs/>
              </w:rPr>
            </w:pPr>
            <w:r w:rsidRPr="00D1176B">
              <w:rPr>
                <w:bCs/>
              </w:rPr>
              <w:t xml:space="preserve">Governors  </w:t>
            </w:r>
          </w:p>
          <w:p w14:paraId="4489F4E6" w14:textId="77777777" w:rsidR="00D1176B" w:rsidRPr="00D1176B" w:rsidRDefault="00D1176B" w:rsidP="00D1176B">
            <w:pPr>
              <w:tabs>
                <w:tab w:val="left" w:pos="8064"/>
              </w:tabs>
              <w:rPr>
                <w:bCs/>
              </w:rPr>
            </w:pPr>
            <w:r w:rsidRPr="00D1176B">
              <w:rPr>
                <w:bCs/>
              </w:rPr>
              <w:t xml:space="preserve">Head of Governance </w:t>
            </w:r>
          </w:p>
          <w:p w14:paraId="7B84E355" w14:textId="77777777" w:rsidR="00D1176B" w:rsidRPr="00D1176B" w:rsidRDefault="00D1176B" w:rsidP="00D1176B">
            <w:pPr>
              <w:tabs>
                <w:tab w:val="left" w:pos="8064"/>
              </w:tabs>
              <w:rPr>
                <w:bCs/>
              </w:rPr>
            </w:pPr>
            <w:r w:rsidRPr="00D1176B">
              <w:rPr>
                <w:bCs/>
              </w:rPr>
              <w:t xml:space="preserve">Deputy Vice-Chancellor </w:t>
            </w:r>
          </w:p>
          <w:p w14:paraId="34123488" w14:textId="77777777" w:rsidR="00D1176B" w:rsidRPr="00D1176B" w:rsidRDefault="00D1176B" w:rsidP="00D1176B">
            <w:pPr>
              <w:tabs>
                <w:tab w:val="left" w:pos="8064"/>
              </w:tabs>
              <w:rPr>
                <w:bCs/>
              </w:rPr>
            </w:pPr>
            <w:r w:rsidRPr="00D1176B">
              <w:rPr>
                <w:bCs/>
              </w:rPr>
              <w:t xml:space="preserve">Pro Vice-Chancellor Research and Innovation </w:t>
            </w:r>
          </w:p>
          <w:p w14:paraId="39761A9A" w14:textId="77777777" w:rsidR="00D1176B" w:rsidRPr="00D1176B" w:rsidRDefault="00D1176B" w:rsidP="00D1176B">
            <w:pPr>
              <w:tabs>
                <w:tab w:val="left" w:pos="8064"/>
              </w:tabs>
              <w:rPr>
                <w:bCs/>
              </w:rPr>
            </w:pPr>
            <w:r w:rsidRPr="00D1176B">
              <w:rPr>
                <w:bCs/>
              </w:rPr>
              <w:t xml:space="preserve">Pro Vice-Chancellor Student Engagement </w:t>
            </w:r>
          </w:p>
          <w:p w14:paraId="02E74D95" w14:textId="77777777" w:rsidR="00D1176B" w:rsidRPr="00D1176B" w:rsidRDefault="00D1176B" w:rsidP="00D1176B">
            <w:pPr>
              <w:tabs>
                <w:tab w:val="left" w:pos="8064"/>
              </w:tabs>
              <w:rPr>
                <w:bCs/>
              </w:rPr>
            </w:pPr>
            <w:r w:rsidRPr="00D1176B">
              <w:rPr>
                <w:bCs/>
              </w:rPr>
              <w:t xml:space="preserve">Chief Officer (Resources) </w:t>
            </w:r>
          </w:p>
          <w:p w14:paraId="7E97F31D" w14:textId="77777777" w:rsidR="00D1176B" w:rsidRPr="00D1176B" w:rsidRDefault="00D1176B" w:rsidP="00D1176B">
            <w:pPr>
              <w:tabs>
                <w:tab w:val="left" w:pos="8064"/>
              </w:tabs>
              <w:rPr>
                <w:bCs/>
              </w:rPr>
            </w:pPr>
            <w:r w:rsidRPr="00D1176B">
              <w:rPr>
                <w:bCs/>
              </w:rPr>
              <w:t xml:space="preserve">Head of Strategy, Planning and Performance </w:t>
            </w:r>
          </w:p>
          <w:p w14:paraId="2656A343" w14:textId="77777777" w:rsidR="00D1176B" w:rsidRPr="00D1176B" w:rsidRDefault="00D1176B" w:rsidP="00D1176B">
            <w:pPr>
              <w:tabs>
                <w:tab w:val="left" w:pos="8064"/>
              </w:tabs>
              <w:rPr>
                <w:bCs/>
              </w:rPr>
            </w:pPr>
            <w:r w:rsidRPr="00D1176B">
              <w:rPr>
                <w:bCs/>
              </w:rPr>
              <w:t xml:space="preserve">At the discretion of the Chair other University officers, as may be appropriate, shall be invited to attend meetings. </w:t>
            </w:r>
          </w:p>
        </w:tc>
      </w:tr>
    </w:tbl>
    <w:p w14:paraId="05268A8F" w14:textId="77777777" w:rsidR="00D1176B" w:rsidRPr="00D1176B" w:rsidRDefault="00D1176B" w:rsidP="00D1176B">
      <w:pPr>
        <w:tabs>
          <w:tab w:val="left" w:pos="8064"/>
        </w:tabs>
        <w:rPr>
          <w:bCs/>
          <w:u w:val="single"/>
        </w:rPr>
      </w:pPr>
    </w:p>
    <w:p w14:paraId="329E4E5E" w14:textId="77777777" w:rsidR="00D1176B" w:rsidRPr="00D1176B" w:rsidRDefault="00D1176B" w:rsidP="00D1176B">
      <w:pPr>
        <w:tabs>
          <w:tab w:val="left" w:pos="8064"/>
        </w:tabs>
        <w:rPr>
          <w:bCs/>
        </w:rPr>
      </w:pPr>
      <w:r w:rsidRPr="00D1176B">
        <w:rPr>
          <w:bCs/>
          <w:u w:val="single"/>
        </w:rPr>
        <w:t>Remit:</w:t>
      </w:r>
      <w:r w:rsidRPr="00D1176B">
        <w:rPr>
          <w:bCs/>
        </w:rPr>
        <w:t xml:space="preserve"> </w:t>
      </w:r>
    </w:p>
    <w:p w14:paraId="7E312B62" w14:textId="77777777" w:rsidR="00D1176B" w:rsidRPr="00D1176B" w:rsidRDefault="00D1176B" w:rsidP="00D1176B">
      <w:pPr>
        <w:tabs>
          <w:tab w:val="left" w:pos="8064"/>
        </w:tabs>
        <w:rPr>
          <w:bCs/>
        </w:rPr>
      </w:pPr>
      <w:r w:rsidRPr="00D1176B">
        <w:rPr>
          <w:bCs/>
        </w:rPr>
        <w:t xml:space="preserve">The Strategic Planning and Performance Committee advises the Board on matters relating to strategic planning; the monitoring and evaluation of strategic priorities and performance against the strategic plan; the evaluation of progress relating to the overarching agenda of growth, </w:t>
      </w:r>
      <w:proofErr w:type="gramStart"/>
      <w:r w:rsidRPr="00D1176B">
        <w:rPr>
          <w:bCs/>
        </w:rPr>
        <w:t>diversification</w:t>
      </w:r>
      <w:proofErr w:type="gramEnd"/>
      <w:r w:rsidRPr="00D1176B">
        <w:rPr>
          <w:bCs/>
        </w:rPr>
        <w:t xml:space="preserve"> and improvement; and horizon scanning. The Committee also has a role in giving initial recommendations and advice to Board on Masterplanning</w:t>
      </w:r>
      <w:r w:rsidRPr="00D1176B">
        <w:rPr>
          <w:bCs/>
          <w:vertAlign w:val="superscript"/>
        </w:rPr>
        <w:footnoteReference w:id="3"/>
      </w:r>
      <w:r w:rsidRPr="00D1176B">
        <w:rPr>
          <w:bCs/>
        </w:rPr>
        <w:t xml:space="preserve">. </w:t>
      </w:r>
    </w:p>
    <w:p w14:paraId="3F5A5A7E" w14:textId="77777777" w:rsidR="00D1176B" w:rsidRPr="00D1176B" w:rsidRDefault="00D1176B" w:rsidP="00D1176B">
      <w:pPr>
        <w:tabs>
          <w:tab w:val="left" w:pos="8064"/>
        </w:tabs>
        <w:rPr>
          <w:bCs/>
        </w:rPr>
      </w:pPr>
      <w:r w:rsidRPr="00D1176B">
        <w:rPr>
          <w:bCs/>
          <w:noProof/>
        </w:rPr>
        <w:lastRenderedPageBreak/>
        <mc:AlternateContent>
          <mc:Choice Requires="wpg">
            <w:drawing>
              <wp:inline distT="0" distB="0" distL="0" distR="0" wp14:anchorId="1132EAC8" wp14:editId="6965AF7A">
                <wp:extent cx="6154420" cy="9144"/>
                <wp:effectExtent l="0" t="0" r="0" b="0"/>
                <wp:docPr id="78099" name="Group 78099"/>
                <wp:cNvGraphicFramePr/>
                <a:graphic xmlns:a="http://schemas.openxmlformats.org/drawingml/2006/main">
                  <a:graphicData uri="http://schemas.microsoft.com/office/word/2010/wordprocessingGroup">
                    <wpg:wgp>
                      <wpg:cNvGrpSpPr/>
                      <wpg:grpSpPr>
                        <a:xfrm>
                          <a:off x="0" y="0"/>
                          <a:ext cx="6154420" cy="9144"/>
                          <a:chOff x="0" y="0"/>
                          <a:chExt cx="6154420" cy="9144"/>
                        </a:xfrm>
                      </wpg:grpSpPr>
                      <wps:wsp>
                        <wps:cNvPr id="108271" name="Shape 108271"/>
                        <wps:cNvSpPr/>
                        <wps:spPr>
                          <a:xfrm>
                            <a:off x="0" y="0"/>
                            <a:ext cx="6154420" cy="9144"/>
                          </a:xfrm>
                          <a:custGeom>
                            <a:avLst/>
                            <a:gdLst/>
                            <a:ahLst/>
                            <a:cxnLst/>
                            <a:rect l="0" t="0" r="0" b="0"/>
                            <a:pathLst>
                              <a:path w="6154420" h="9144">
                                <a:moveTo>
                                  <a:pt x="0" y="0"/>
                                </a:moveTo>
                                <a:lnTo>
                                  <a:pt x="6154420" y="0"/>
                                </a:lnTo>
                                <a:lnTo>
                                  <a:pt x="6154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7CCF9DA" id="Group 78099" o:spid="_x0000_s1026" style="width:484.6pt;height:.7pt;mso-position-horizontal-relative:char;mso-position-vertical-relative:line" coordsize="615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">
                <v:shape id="Shape 108271" o:spid="_x0000_s1027" style="position:absolute;width:61544;height:91;visibility:visible;mso-wrap-style:square;v-text-anchor:top" coordsize="6154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" path="m,l6154420,r,9144l,9144,,e" fillcolor="black" stroked="f" strokeweight="0">
                  <v:stroke miterlimit="83231f" joinstyle="miter"/>
                  <v:path arrowok="t" textboxrect="0,0,6154420,9144"/>
                </v:shape>
                <w10:anchorlock/>
              </v:group>
            </w:pict>
          </mc:Fallback>
        </mc:AlternateContent>
      </w:r>
    </w:p>
    <w:p w14:paraId="5B96720F" w14:textId="77777777" w:rsidR="00E16BBC" w:rsidRDefault="00D1176B" w:rsidP="00E16BBC">
      <w:pPr>
        <w:tabs>
          <w:tab w:val="left" w:pos="8064"/>
        </w:tabs>
        <w:rPr>
          <w:bCs/>
        </w:rPr>
      </w:pPr>
      <w:r w:rsidRPr="00D1176B">
        <w:rPr>
          <w:bCs/>
          <w:u w:val="single"/>
        </w:rPr>
        <w:t>Terms of reference:</w:t>
      </w:r>
      <w:r w:rsidRPr="00D1176B">
        <w:rPr>
          <w:bCs/>
        </w:rPr>
        <w:t xml:space="preserve"> </w:t>
      </w:r>
    </w:p>
    <w:p w14:paraId="4487E96E" w14:textId="2D3CEEAA" w:rsidR="00D1176B" w:rsidRPr="00E16BBC" w:rsidRDefault="00D1176B" w:rsidP="00E16BBC">
      <w:pPr>
        <w:pStyle w:val="ListParagraph"/>
        <w:numPr>
          <w:ilvl w:val="0"/>
          <w:numId w:val="12"/>
        </w:numPr>
        <w:tabs>
          <w:tab w:val="left" w:pos="8064"/>
        </w:tabs>
        <w:rPr>
          <w:bCs/>
        </w:rPr>
      </w:pPr>
      <w:r w:rsidRPr="00E16BBC">
        <w:rPr>
          <w:bCs/>
        </w:rPr>
        <w:t>To consider and have authority to approve on behalf of Board:</w:t>
      </w:r>
    </w:p>
    <w:p w14:paraId="2D12FF26" w14:textId="77777777" w:rsidR="00D1176B" w:rsidRPr="00D1176B" w:rsidRDefault="00D1176B" w:rsidP="00D1176B">
      <w:pPr>
        <w:numPr>
          <w:ilvl w:val="1"/>
          <w:numId w:val="12"/>
        </w:numPr>
        <w:tabs>
          <w:tab w:val="left" w:pos="8064"/>
        </w:tabs>
        <w:rPr>
          <w:bCs/>
        </w:rPr>
      </w:pPr>
      <w:r w:rsidRPr="00D1176B">
        <w:rPr>
          <w:bCs/>
          <w:lang w:val="en-US"/>
        </w:rPr>
        <w:t>The development of and progress against the Fee and Access Plan, including reviewing the revisions to annual plans and updated guidance from HEFCW</w:t>
      </w:r>
      <w:r w:rsidRPr="00D1176B">
        <w:rPr>
          <w:bCs/>
        </w:rPr>
        <w:t>.</w:t>
      </w:r>
    </w:p>
    <w:p w14:paraId="4CD314A5" w14:textId="77777777" w:rsidR="00D1176B" w:rsidRPr="00D1176B" w:rsidRDefault="00D1176B" w:rsidP="00D1176B">
      <w:pPr>
        <w:numPr>
          <w:ilvl w:val="1"/>
          <w:numId w:val="12"/>
        </w:numPr>
        <w:tabs>
          <w:tab w:val="left" w:pos="8064"/>
        </w:tabs>
        <w:rPr>
          <w:bCs/>
        </w:rPr>
      </w:pPr>
      <w:r w:rsidRPr="00D1176B">
        <w:rPr>
          <w:bCs/>
          <w:lang w:val="en-US"/>
        </w:rPr>
        <w:t>External academic scrutiny relating to performance, especially the Research Excellence Framework and Academic Quality Assurance (in line with the Quality Assessment Framework for Wales), as well as the National Student Survey, Postgraduate Research Experience Survey, league tables, and other requirements from HEFCW and the Welsh Government</w:t>
      </w:r>
      <w:r w:rsidRPr="00D1176B">
        <w:rPr>
          <w:bCs/>
        </w:rPr>
        <w:t>.</w:t>
      </w:r>
    </w:p>
    <w:p w14:paraId="58CBCE7D" w14:textId="77777777" w:rsidR="00D1176B" w:rsidRPr="00D1176B" w:rsidRDefault="00D1176B" w:rsidP="00D1176B">
      <w:pPr>
        <w:numPr>
          <w:ilvl w:val="1"/>
          <w:numId w:val="12"/>
        </w:numPr>
        <w:tabs>
          <w:tab w:val="left" w:pos="8064"/>
        </w:tabs>
        <w:rPr>
          <w:bCs/>
        </w:rPr>
      </w:pPr>
      <w:r w:rsidRPr="00D1176B">
        <w:rPr>
          <w:bCs/>
          <w:lang w:val="en-US"/>
        </w:rPr>
        <w:t>The approach for the annual Board awayday on strategy.</w:t>
      </w:r>
    </w:p>
    <w:p w14:paraId="1DBD755E" w14:textId="77777777" w:rsidR="00D1176B" w:rsidRPr="00D1176B" w:rsidRDefault="00D1176B" w:rsidP="00D1176B">
      <w:pPr>
        <w:numPr>
          <w:ilvl w:val="1"/>
          <w:numId w:val="12"/>
        </w:numPr>
        <w:tabs>
          <w:tab w:val="left" w:pos="8064"/>
        </w:tabs>
        <w:rPr>
          <w:bCs/>
        </w:rPr>
      </w:pPr>
      <w:r w:rsidRPr="00D1176B">
        <w:rPr>
          <w:bCs/>
          <w:lang w:val="en-US"/>
        </w:rPr>
        <w:t xml:space="preserve">The development and implementation of major projects, new </w:t>
      </w:r>
      <w:proofErr w:type="gramStart"/>
      <w:r w:rsidRPr="00D1176B">
        <w:rPr>
          <w:bCs/>
          <w:lang w:val="en-US"/>
        </w:rPr>
        <w:t>enterprises</w:t>
      </w:r>
      <w:proofErr w:type="gramEnd"/>
      <w:r w:rsidRPr="00D1176B">
        <w:rPr>
          <w:bCs/>
          <w:lang w:val="en-US"/>
        </w:rPr>
        <w:t xml:space="preserve"> and strategic investments. </w:t>
      </w:r>
    </w:p>
    <w:p w14:paraId="084C5677" w14:textId="77777777" w:rsidR="00D1176B" w:rsidRPr="00D1176B" w:rsidRDefault="00D1176B" w:rsidP="00D1176B">
      <w:pPr>
        <w:numPr>
          <w:ilvl w:val="1"/>
          <w:numId w:val="12"/>
        </w:numPr>
        <w:tabs>
          <w:tab w:val="left" w:pos="8064"/>
        </w:tabs>
        <w:rPr>
          <w:bCs/>
        </w:rPr>
      </w:pPr>
      <w:r w:rsidRPr="00D1176B">
        <w:rPr>
          <w:bCs/>
          <w:lang w:val="en-US"/>
        </w:rPr>
        <w:t>Anything other item or issue delegated to it from the Board</w:t>
      </w:r>
    </w:p>
    <w:p w14:paraId="739DD95C" w14:textId="77777777" w:rsidR="00D1176B" w:rsidRPr="00D1176B" w:rsidRDefault="00D1176B" w:rsidP="00D1176B">
      <w:pPr>
        <w:tabs>
          <w:tab w:val="left" w:pos="8064"/>
        </w:tabs>
        <w:rPr>
          <w:bCs/>
        </w:rPr>
      </w:pPr>
    </w:p>
    <w:p w14:paraId="09A89F3A" w14:textId="77777777" w:rsidR="00D1176B" w:rsidRPr="00D1176B" w:rsidRDefault="00D1176B" w:rsidP="00D1176B">
      <w:pPr>
        <w:numPr>
          <w:ilvl w:val="0"/>
          <w:numId w:val="12"/>
        </w:numPr>
        <w:tabs>
          <w:tab w:val="left" w:pos="8064"/>
        </w:tabs>
        <w:rPr>
          <w:bCs/>
        </w:rPr>
      </w:pPr>
      <w:r w:rsidRPr="00D1176B">
        <w:rPr>
          <w:bCs/>
        </w:rPr>
        <w:t>To provide initial recommendations and advice for Board approval:</w:t>
      </w:r>
    </w:p>
    <w:p w14:paraId="24F130D7" w14:textId="77777777" w:rsidR="00D1176B" w:rsidRPr="00D1176B" w:rsidRDefault="00D1176B" w:rsidP="00D1176B">
      <w:pPr>
        <w:numPr>
          <w:ilvl w:val="1"/>
          <w:numId w:val="12"/>
        </w:numPr>
        <w:tabs>
          <w:tab w:val="left" w:pos="8064"/>
        </w:tabs>
        <w:rPr>
          <w:bCs/>
        </w:rPr>
      </w:pPr>
      <w:r w:rsidRPr="00D1176B">
        <w:rPr>
          <w:bCs/>
        </w:rPr>
        <w:t xml:space="preserve">The overall strategic direction of the University in relation to the formal responsibilities of the Board and its members, including the Strategic Plan, Purpose, Values, and high-level measures of success. Identifying key issues for Board consideration, bringing </w:t>
      </w:r>
      <w:proofErr w:type="gramStart"/>
      <w:r w:rsidRPr="00D1176B">
        <w:rPr>
          <w:bCs/>
        </w:rPr>
        <w:t>ideas</w:t>
      </w:r>
      <w:proofErr w:type="gramEnd"/>
      <w:r w:rsidRPr="00D1176B">
        <w:rPr>
          <w:bCs/>
        </w:rPr>
        <w:t xml:space="preserve"> and working papers to Board for fuller discussion.</w:t>
      </w:r>
    </w:p>
    <w:p w14:paraId="53EB677E" w14:textId="77777777" w:rsidR="00D1176B" w:rsidRPr="00D1176B" w:rsidRDefault="00D1176B" w:rsidP="00D1176B">
      <w:pPr>
        <w:numPr>
          <w:ilvl w:val="1"/>
          <w:numId w:val="12"/>
        </w:numPr>
        <w:tabs>
          <w:tab w:val="left" w:pos="8064"/>
        </w:tabs>
        <w:rPr>
          <w:bCs/>
        </w:rPr>
      </w:pPr>
      <w:r w:rsidRPr="00D1176B">
        <w:rPr>
          <w:bCs/>
        </w:rPr>
        <w:t>Proposals for the general or long-term direction of the University through horizon scanning and review of big pictures issues in the sector and wider economy and society, both nationally and globally. Recommendations to inform annual Board horizon scanning session at awayday on strategy.</w:t>
      </w:r>
    </w:p>
    <w:p w14:paraId="08EE403E" w14:textId="77777777" w:rsidR="00D1176B" w:rsidRPr="00D1176B" w:rsidRDefault="00D1176B" w:rsidP="00D1176B">
      <w:pPr>
        <w:numPr>
          <w:ilvl w:val="1"/>
          <w:numId w:val="12"/>
        </w:numPr>
        <w:tabs>
          <w:tab w:val="left" w:pos="8064"/>
        </w:tabs>
        <w:rPr>
          <w:bCs/>
        </w:rPr>
      </w:pPr>
      <w:r w:rsidRPr="00D1176B">
        <w:rPr>
          <w:bCs/>
        </w:rPr>
        <w:t>The impact of major external changes and possible impact on the students and strategy of the University, including post-pandemic planning.</w:t>
      </w:r>
    </w:p>
    <w:p w14:paraId="37233A7A" w14:textId="77777777" w:rsidR="00D1176B" w:rsidRPr="00D1176B" w:rsidRDefault="00D1176B" w:rsidP="00D1176B">
      <w:pPr>
        <w:numPr>
          <w:ilvl w:val="0"/>
          <w:numId w:val="12"/>
        </w:numPr>
        <w:tabs>
          <w:tab w:val="left" w:pos="8064"/>
        </w:tabs>
        <w:rPr>
          <w:bCs/>
        </w:rPr>
      </w:pPr>
      <w:r w:rsidRPr="00D1176B">
        <w:rPr>
          <w:bCs/>
        </w:rPr>
        <w:t>To receive reports for information and consider and advise Board and/or the Vice-Chancellor as appropriate on:</w:t>
      </w:r>
    </w:p>
    <w:p w14:paraId="5D873DC0" w14:textId="77777777" w:rsidR="00D1176B" w:rsidRPr="00D1176B" w:rsidRDefault="00D1176B" w:rsidP="00D1176B">
      <w:pPr>
        <w:numPr>
          <w:ilvl w:val="1"/>
          <w:numId w:val="12"/>
        </w:numPr>
        <w:tabs>
          <w:tab w:val="left" w:pos="8064"/>
        </w:tabs>
        <w:rPr>
          <w:bCs/>
        </w:rPr>
      </w:pPr>
      <w:r w:rsidRPr="00D1176B">
        <w:rPr>
          <w:bCs/>
        </w:rPr>
        <w:t>The performance of the University relating to the priorities of the strategic plan against high level measures and key performance indicators.</w:t>
      </w:r>
    </w:p>
    <w:p w14:paraId="2858CA04" w14:textId="77777777" w:rsidR="00D1176B" w:rsidRPr="00D1176B" w:rsidRDefault="00D1176B" w:rsidP="00D1176B">
      <w:pPr>
        <w:numPr>
          <w:ilvl w:val="1"/>
          <w:numId w:val="12"/>
        </w:numPr>
        <w:tabs>
          <w:tab w:val="left" w:pos="8064"/>
        </w:tabs>
        <w:rPr>
          <w:bCs/>
        </w:rPr>
      </w:pPr>
      <w:r w:rsidRPr="00D1176B">
        <w:rPr>
          <w:bCs/>
        </w:rPr>
        <w:t>The performance of the University in league tables</w:t>
      </w:r>
    </w:p>
    <w:p w14:paraId="714AB811" w14:textId="77777777" w:rsidR="00D1176B" w:rsidRPr="00D1176B" w:rsidRDefault="00D1176B" w:rsidP="00D1176B">
      <w:pPr>
        <w:numPr>
          <w:ilvl w:val="1"/>
          <w:numId w:val="12"/>
        </w:numPr>
        <w:tabs>
          <w:tab w:val="left" w:pos="8064"/>
        </w:tabs>
        <w:rPr>
          <w:bCs/>
        </w:rPr>
      </w:pPr>
      <w:r w:rsidRPr="00D1176B">
        <w:rPr>
          <w:bCs/>
        </w:rPr>
        <w:t xml:space="preserve">The development and implementation of major projects, new </w:t>
      </w:r>
      <w:proofErr w:type="gramStart"/>
      <w:r w:rsidRPr="00D1176B">
        <w:rPr>
          <w:bCs/>
        </w:rPr>
        <w:t>enterprises</w:t>
      </w:r>
      <w:proofErr w:type="gramEnd"/>
      <w:r w:rsidRPr="00D1176B">
        <w:rPr>
          <w:bCs/>
        </w:rPr>
        <w:t xml:space="preserve"> and strategic investments.</w:t>
      </w:r>
    </w:p>
    <w:p w14:paraId="5A84625B" w14:textId="77777777" w:rsidR="00D1176B" w:rsidRPr="00D1176B" w:rsidRDefault="00D1176B" w:rsidP="00D1176B">
      <w:pPr>
        <w:numPr>
          <w:ilvl w:val="1"/>
          <w:numId w:val="12"/>
        </w:numPr>
        <w:tabs>
          <w:tab w:val="left" w:pos="8064"/>
        </w:tabs>
        <w:rPr>
          <w:bCs/>
        </w:rPr>
      </w:pPr>
      <w:r w:rsidRPr="00D1176B">
        <w:rPr>
          <w:bCs/>
        </w:rPr>
        <w:t>Emerging strategic issues arising out of the work of the Board’s committees.</w:t>
      </w:r>
    </w:p>
    <w:p w14:paraId="23BE1267" w14:textId="77777777" w:rsidR="00D1176B" w:rsidRPr="00D1176B" w:rsidRDefault="00D1176B" w:rsidP="00D1176B">
      <w:pPr>
        <w:tabs>
          <w:tab w:val="left" w:pos="8064"/>
        </w:tabs>
        <w:rPr>
          <w:bCs/>
        </w:rPr>
      </w:pPr>
      <w:r w:rsidRPr="00D1176B">
        <w:rPr>
          <w:bCs/>
        </w:rPr>
        <w:t xml:space="preserve">The Committee may establish time-limited Task &amp; Finish Groups to undertake any of the above responsibilities on its behalf. The membership and reporting arrangements of </w:t>
      </w:r>
      <w:r w:rsidRPr="00D1176B">
        <w:rPr>
          <w:bCs/>
        </w:rPr>
        <w:lastRenderedPageBreak/>
        <w:t xml:space="preserve">such Task &amp; Finish Groups shall be agreed by the Chair of Board, the Committee Chair, or the Vice-Chancellor, according to business demands. </w:t>
      </w:r>
    </w:p>
    <w:p w14:paraId="4DD4CEFC" w14:textId="77777777" w:rsidR="00D1176B" w:rsidRPr="00D1176B" w:rsidRDefault="00D1176B" w:rsidP="00D1176B">
      <w:pPr>
        <w:tabs>
          <w:tab w:val="left" w:pos="8064"/>
        </w:tabs>
        <w:rPr>
          <w:bCs/>
        </w:rPr>
      </w:pPr>
      <w:r w:rsidRPr="00D1176B">
        <w:rPr>
          <w:bCs/>
        </w:rPr>
        <w:t>______________________________________________________________________________________</w:t>
      </w:r>
    </w:p>
    <w:p w14:paraId="78158404" w14:textId="77777777" w:rsidR="00D1176B" w:rsidRPr="00D1176B" w:rsidRDefault="00D1176B" w:rsidP="00D1176B">
      <w:pPr>
        <w:tabs>
          <w:tab w:val="left" w:pos="8064"/>
        </w:tabs>
        <w:rPr>
          <w:bCs/>
        </w:rPr>
      </w:pPr>
      <w:r w:rsidRPr="00D1176B">
        <w:rPr>
          <w:bCs/>
          <w:u w:val="single"/>
        </w:rPr>
        <w:t>Operation</w:t>
      </w:r>
      <w:r w:rsidRPr="00D1176B">
        <w:rPr>
          <w:bCs/>
        </w:rPr>
        <w:t xml:space="preserve"> </w:t>
      </w:r>
    </w:p>
    <w:p w14:paraId="6C7691ED" w14:textId="77777777" w:rsidR="00D1176B" w:rsidRPr="00D1176B" w:rsidRDefault="00D1176B" w:rsidP="00D1176B">
      <w:pPr>
        <w:tabs>
          <w:tab w:val="left" w:pos="8064"/>
        </w:tabs>
        <w:rPr>
          <w:bCs/>
        </w:rPr>
      </w:pPr>
      <w:r w:rsidRPr="00D1176B">
        <w:rPr>
          <w:bCs/>
        </w:rPr>
        <w:t xml:space="preserve">The Committee shall agree and present to the Board an annual report outlining the key business undertaken by the Committee during the previous academic year, with a particular focus on the decisions taken by the Committee on behalf of the governing body in accordance with the delegated authorities provided in these terms of reference. </w:t>
      </w:r>
    </w:p>
    <w:p w14:paraId="1BC91056" w14:textId="77777777" w:rsidR="00D1176B" w:rsidRPr="00D1176B" w:rsidRDefault="00D1176B" w:rsidP="00D1176B">
      <w:pPr>
        <w:tabs>
          <w:tab w:val="left" w:pos="8064"/>
        </w:tabs>
        <w:rPr>
          <w:bCs/>
        </w:rPr>
      </w:pPr>
      <w:r w:rsidRPr="00D1176B">
        <w:rPr>
          <w:bCs/>
        </w:rPr>
        <w:t xml:space="preserve">The Committee shall provide a summary report to Board following each meeting, setting out what decisions have been taken via delegated authority. The Chair will provide an oral update to Board as necessary highlighting any issues that they need to bring to the attention of the Board. </w:t>
      </w:r>
    </w:p>
    <w:p w14:paraId="0B8461A0" w14:textId="77777777" w:rsidR="00D1176B" w:rsidRPr="00D1176B" w:rsidRDefault="00D1176B" w:rsidP="00D1176B">
      <w:pPr>
        <w:tabs>
          <w:tab w:val="left" w:pos="8064"/>
        </w:tabs>
        <w:rPr>
          <w:bCs/>
        </w:rPr>
      </w:pPr>
      <w:r w:rsidRPr="00D1176B">
        <w:rPr>
          <w:bCs/>
        </w:rPr>
        <w:t>The Committee may consider matters referred to it by Board, the Management Board or Academic Board (via the Vice-Chancellor), or the University Vice-Chancellor’s Executive Group.</w:t>
      </w:r>
    </w:p>
    <w:p w14:paraId="70A1FB4F" w14:textId="77777777" w:rsidR="00D1176B" w:rsidRPr="00D1176B" w:rsidRDefault="00D1176B" w:rsidP="00D1176B">
      <w:pPr>
        <w:tabs>
          <w:tab w:val="left" w:pos="8064"/>
        </w:tabs>
        <w:rPr>
          <w:b/>
        </w:rPr>
      </w:pPr>
      <w:r w:rsidRPr="00D1176B">
        <w:rPr>
          <w:b/>
        </w:rPr>
        <w:tab/>
      </w:r>
    </w:p>
    <w:p w14:paraId="1C525080" w14:textId="77777777" w:rsidR="008E3D2E" w:rsidRPr="00992DB3" w:rsidRDefault="008E3D2E" w:rsidP="008E3D2E">
      <w:pPr>
        <w:tabs>
          <w:tab w:val="left" w:pos="8064"/>
        </w:tabs>
      </w:pPr>
      <w:r>
        <w:tab/>
      </w:r>
    </w:p>
    <w:p w14:paraId="538F4AA2" w14:textId="77777777" w:rsidR="00B63EE9" w:rsidRDefault="00B63EE9" w:rsidP="00460F24">
      <w:pPr>
        <w:sectPr w:rsidR="00B63EE9" w:rsidSect="007E5ABE">
          <w:headerReference w:type="even" r:id="rId14"/>
          <w:footerReference w:type="default" r:id="rId15"/>
          <w:pgSz w:w="11906" w:h="16838"/>
          <w:pgMar w:top="1418" w:right="1440" w:bottom="1134" w:left="1134" w:header="709" w:footer="709" w:gutter="0"/>
          <w:pgNumType w:start="0"/>
          <w:cols w:space="708"/>
          <w:titlePg/>
          <w:docGrid w:linePitch="360"/>
        </w:sectPr>
      </w:pPr>
    </w:p>
    <w:p w14:paraId="3B2F058A" w14:textId="32575D50" w:rsidR="00B63EE9" w:rsidRPr="004918D0" w:rsidRDefault="00B63EE9" w:rsidP="00B63EE9">
      <w:pPr>
        <w:pStyle w:val="Heading1"/>
        <w:numPr>
          <w:ilvl w:val="0"/>
          <w:numId w:val="0"/>
        </w:numPr>
        <w:ind w:left="432" w:hanging="432"/>
      </w:pPr>
      <w:r w:rsidRPr="004918D0">
        <w:lastRenderedPageBreak/>
        <w:t xml:space="preserve">Appendix </w:t>
      </w:r>
      <w:r>
        <w:t>2</w:t>
      </w:r>
    </w:p>
    <w:p w14:paraId="734D7F57" w14:textId="25EDB848" w:rsidR="008E3D2E" w:rsidRDefault="00AA1862" w:rsidP="00B63EE9">
      <w:r>
        <w:t>Attendance at Meetings</w:t>
      </w:r>
    </w:p>
    <w:p w14:paraId="013A2833" w14:textId="77777777" w:rsidR="00AA1862" w:rsidRDefault="00AA1862" w:rsidP="00B63EE9"/>
    <w:tbl>
      <w:tblPr>
        <w:tblW w:w="5000" w:type="pct"/>
        <w:tblCellMar>
          <w:top w:w="15" w:type="dxa"/>
          <w:bottom w:w="15" w:type="dxa"/>
        </w:tblCellMar>
        <w:tblLook w:val="04A0" w:firstRow="1" w:lastRow="0" w:firstColumn="1" w:lastColumn="0" w:noHBand="0" w:noVBand="1"/>
      </w:tblPr>
      <w:tblGrid>
        <w:gridCol w:w="6113"/>
        <w:gridCol w:w="1412"/>
        <w:gridCol w:w="1412"/>
        <w:gridCol w:w="1371"/>
        <w:gridCol w:w="1284"/>
        <w:gridCol w:w="1323"/>
        <w:gridCol w:w="1371"/>
      </w:tblGrid>
      <w:tr w:rsidR="00DD074C" w:rsidRPr="00601789" w14:paraId="6A11F202" w14:textId="77777777" w:rsidTr="004756BB">
        <w:trPr>
          <w:trHeight w:val="390"/>
        </w:trPr>
        <w:tc>
          <w:tcPr>
            <w:tcW w:w="2138" w:type="pct"/>
            <w:tcBorders>
              <w:top w:val="nil"/>
              <w:left w:val="nil"/>
              <w:bottom w:val="single" w:sz="12" w:space="0" w:color="A2B8E1"/>
              <w:right w:val="nil"/>
            </w:tcBorders>
            <w:vAlign w:val="bottom"/>
            <w:hideMark/>
          </w:tcPr>
          <w:p w14:paraId="29ABFD7F" w14:textId="77777777" w:rsidR="00DD074C" w:rsidRPr="00601789" w:rsidRDefault="00DD074C" w:rsidP="00DD074C">
            <w:pPr>
              <w:rPr>
                <w:b/>
                <w:bCs/>
              </w:rPr>
            </w:pPr>
            <w:r w:rsidRPr="00601789">
              <w:rPr>
                <w:b/>
                <w:bCs/>
              </w:rPr>
              <w:t>Name | Date</w:t>
            </w:r>
          </w:p>
        </w:tc>
        <w:tc>
          <w:tcPr>
            <w:tcW w:w="494" w:type="pct"/>
            <w:tcBorders>
              <w:top w:val="nil"/>
              <w:left w:val="nil"/>
              <w:bottom w:val="nil"/>
              <w:right w:val="nil"/>
            </w:tcBorders>
            <w:noWrap/>
            <w:vAlign w:val="bottom"/>
          </w:tcPr>
          <w:p w14:paraId="4628C6C8" w14:textId="7E44B127" w:rsidR="00DD074C" w:rsidRPr="00601789" w:rsidRDefault="003A51CE" w:rsidP="00DD074C">
            <w:r>
              <w:t>30-Nov-22</w:t>
            </w:r>
          </w:p>
        </w:tc>
        <w:tc>
          <w:tcPr>
            <w:tcW w:w="494" w:type="pct"/>
            <w:tcBorders>
              <w:top w:val="nil"/>
              <w:left w:val="nil"/>
              <w:bottom w:val="nil"/>
              <w:right w:val="nil"/>
            </w:tcBorders>
            <w:noWrap/>
            <w:vAlign w:val="bottom"/>
          </w:tcPr>
          <w:p w14:paraId="255EB1BD" w14:textId="0C6B0253" w:rsidR="00DD074C" w:rsidRPr="00601789" w:rsidRDefault="003A51CE" w:rsidP="00DD074C">
            <w:r>
              <w:t>19-Jan-23</w:t>
            </w:r>
          </w:p>
        </w:tc>
        <w:tc>
          <w:tcPr>
            <w:tcW w:w="480" w:type="pct"/>
            <w:tcBorders>
              <w:top w:val="nil"/>
              <w:left w:val="nil"/>
              <w:bottom w:val="nil"/>
              <w:right w:val="nil"/>
            </w:tcBorders>
            <w:noWrap/>
            <w:vAlign w:val="bottom"/>
          </w:tcPr>
          <w:p w14:paraId="3CD55349" w14:textId="6E9F3BFB" w:rsidR="00DD074C" w:rsidRPr="00601789" w:rsidRDefault="003A51CE" w:rsidP="00DD074C">
            <w:r>
              <w:t>09-Mar-23</w:t>
            </w:r>
          </w:p>
        </w:tc>
        <w:tc>
          <w:tcPr>
            <w:tcW w:w="449" w:type="pct"/>
            <w:tcBorders>
              <w:top w:val="nil"/>
              <w:left w:val="nil"/>
              <w:bottom w:val="nil"/>
              <w:right w:val="nil"/>
            </w:tcBorders>
            <w:noWrap/>
            <w:vAlign w:val="bottom"/>
          </w:tcPr>
          <w:p w14:paraId="5EE8F720" w14:textId="20D61F98" w:rsidR="00DD074C" w:rsidRPr="00601789" w:rsidRDefault="003A51CE" w:rsidP="00DD074C">
            <w:r>
              <w:t>20-Apr-23</w:t>
            </w:r>
          </w:p>
        </w:tc>
        <w:tc>
          <w:tcPr>
            <w:tcW w:w="463" w:type="pct"/>
            <w:tcBorders>
              <w:top w:val="nil"/>
              <w:left w:val="nil"/>
              <w:bottom w:val="nil"/>
              <w:right w:val="nil"/>
            </w:tcBorders>
            <w:noWrap/>
            <w:vAlign w:val="bottom"/>
          </w:tcPr>
          <w:p w14:paraId="2A5D7E23" w14:textId="2C54170D" w:rsidR="00DD074C" w:rsidRPr="00601789" w:rsidRDefault="003A51CE" w:rsidP="00DD074C">
            <w:r>
              <w:t>15-Jun-23</w:t>
            </w:r>
          </w:p>
        </w:tc>
        <w:tc>
          <w:tcPr>
            <w:tcW w:w="480" w:type="pct"/>
            <w:tcBorders>
              <w:top w:val="nil"/>
              <w:left w:val="nil"/>
              <w:bottom w:val="nil"/>
              <w:right w:val="nil"/>
            </w:tcBorders>
            <w:noWrap/>
            <w:vAlign w:val="bottom"/>
          </w:tcPr>
          <w:p w14:paraId="5FBCD3B0" w14:textId="7C0AB2C6" w:rsidR="00DD074C" w:rsidRPr="00601789" w:rsidRDefault="00DD074C" w:rsidP="00DD074C"/>
        </w:tc>
      </w:tr>
      <w:tr w:rsidR="004756BB" w:rsidRPr="00601789" w14:paraId="6E969A4D" w14:textId="77777777" w:rsidTr="004756BB">
        <w:trPr>
          <w:trHeight w:val="330"/>
        </w:trPr>
        <w:tc>
          <w:tcPr>
            <w:tcW w:w="2138" w:type="pct"/>
            <w:tcBorders>
              <w:top w:val="nil"/>
              <w:left w:val="nil"/>
              <w:bottom w:val="nil"/>
              <w:right w:val="nil"/>
            </w:tcBorders>
            <w:noWrap/>
            <w:vAlign w:val="bottom"/>
            <w:hideMark/>
          </w:tcPr>
          <w:p w14:paraId="4D7E2638" w14:textId="77777777" w:rsidR="004756BB" w:rsidRPr="00601789" w:rsidRDefault="004756BB" w:rsidP="004756BB">
            <w:r w:rsidRPr="00601789">
              <w:t>Professor Aitchison, Cara (Vice-Chancellor)</w:t>
            </w:r>
          </w:p>
        </w:tc>
        <w:tc>
          <w:tcPr>
            <w:tcW w:w="494" w:type="pct"/>
            <w:tcBorders>
              <w:top w:val="nil"/>
              <w:left w:val="nil"/>
              <w:bottom w:val="nil"/>
              <w:right w:val="nil"/>
            </w:tcBorders>
            <w:shd w:val="clear" w:color="auto" w:fill="auto"/>
            <w:noWrap/>
            <w:vAlign w:val="bottom"/>
          </w:tcPr>
          <w:p w14:paraId="7B8D16F8" w14:textId="0C374EEA" w:rsidR="004756BB" w:rsidRPr="004756BB" w:rsidRDefault="004756BB" w:rsidP="004756BB">
            <w:r w:rsidRPr="004756BB">
              <w:rPr>
                <w:rFonts w:cs="Arial"/>
              </w:rPr>
              <w:t>Yes</w:t>
            </w:r>
          </w:p>
        </w:tc>
        <w:tc>
          <w:tcPr>
            <w:tcW w:w="494" w:type="pct"/>
            <w:tcBorders>
              <w:top w:val="nil"/>
              <w:left w:val="nil"/>
              <w:bottom w:val="nil"/>
              <w:right w:val="nil"/>
            </w:tcBorders>
            <w:shd w:val="clear" w:color="auto" w:fill="auto"/>
            <w:noWrap/>
            <w:vAlign w:val="bottom"/>
          </w:tcPr>
          <w:p w14:paraId="6EB7261F" w14:textId="40DB2CEB" w:rsidR="004756BB" w:rsidRPr="004756BB" w:rsidRDefault="004756BB" w:rsidP="004756BB">
            <w:r w:rsidRPr="004756BB">
              <w:rPr>
                <w:rFonts w:cs="Arial"/>
              </w:rPr>
              <w:t>Yes</w:t>
            </w:r>
          </w:p>
        </w:tc>
        <w:tc>
          <w:tcPr>
            <w:tcW w:w="480" w:type="pct"/>
            <w:tcBorders>
              <w:top w:val="nil"/>
              <w:left w:val="nil"/>
              <w:bottom w:val="nil"/>
              <w:right w:val="nil"/>
            </w:tcBorders>
            <w:shd w:val="clear" w:color="auto" w:fill="auto"/>
            <w:noWrap/>
            <w:vAlign w:val="bottom"/>
          </w:tcPr>
          <w:p w14:paraId="033E6130" w14:textId="3356F8E8" w:rsidR="004756BB" w:rsidRPr="004756BB" w:rsidRDefault="004756BB" w:rsidP="004756BB">
            <w:r w:rsidRPr="004756BB">
              <w:rPr>
                <w:rFonts w:cs="Arial"/>
              </w:rPr>
              <w:t>Yes</w:t>
            </w:r>
          </w:p>
        </w:tc>
        <w:tc>
          <w:tcPr>
            <w:tcW w:w="449" w:type="pct"/>
            <w:tcBorders>
              <w:top w:val="nil"/>
              <w:left w:val="nil"/>
              <w:bottom w:val="nil"/>
              <w:right w:val="nil"/>
            </w:tcBorders>
            <w:shd w:val="clear" w:color="auto" w:fill="auto"/>
            <w:noWrap/>
            <w:vAlign w:val="bottom"/>
          </w:tcPr>
          <w:p w14:paraId="0B230D89" w14:textId="2A97A557" w:rsidR="004756BB" w:rsidRPr="004756BB" w:rsidRDefault="004756BB" w:rsidP="004756BB">
            <w:r w:rsidRPr="004756BB">
              <w:rPr>
                <w:rFonts w:cs="Arial"/>
              </w:rPr>
              <w:t>Yes</w:t>
            </w:r>
          </w:p>
        </w:tc>
        <w:tc>
          <w:tcPr>
            <w:tcW w:w="463" w:type="pct"/>
            <w:tcBorders>
              <w:top w:val="nil"/>
              <w:left w:val="nil"/>
              <w:bottom w:val="nil"/>
              <w:right w:val="nil"/>
            </w:tcBorders>
            <w:shd w:val="clear" w:color="auto" w:fill="auto"/>
            <w:noWrap/>
            <w:vAlign w:val="bottom"/>
          </w:tcPr>
          <w:p w14:paraId="5ACB02DB" w14:textId="6D80E1C2" w:rsidR="004756BB" w:rsidRPr="004756BB" w:rsidRDefault="00306B9B" w:rsidP="004756BB">
            <w:r>
              <w:rPr>
                <w:rFonts w:cs="Arial"/>
              </w:rPr>
              <w:t>Apologies</w:t>
            </w:r>
          </w:p>
        </w:tc>
        <w:tc>
          <w:tcPr>
            <w:tcW w:w="480" w:type="pct"/>
            <w:tcBorders>
              <w:top w:val="nil"/>
              <w:left w:val="nil"/>
              <w:bottom w:val="nil"/>
              <w:right w:val="nil"/>
            </w:tcBorders>
            <w:noWrap/>
            <w:vAlign w:val="bottom"/>
            <w:hideMark/>
          </w:tcPr>
          <w:p w14:paraId="39398456" w14:textId="77777777" w:rsidR="004756BB" w:rsidRPr="00601789" w:rsidRDefault="004756BB" w:rsidP="004756BB"/>
        </w:tc>
      </w:tr>
      <w:tr w:rsidR="004756BB" w:rsidRPr="00601789" w14:paraId="50A12723" w14:textId="77777777" w:rsidTr="004756BB">
        <w:trPr>
          <w:trHeight w:val="315"/>
        </w:trPr>
        <w:tc>
          <w:tcPr>
            <w:tcW w:w="2138" w:type="pct"/>
            <w:tcBorders>
              <w:top w:val="nil"/>
              <w:left w:val="nil"/>
              <w:bottom w:val="nil"/>
              <w:right w:val="nil"/>
            </w:tcBorders>
            <w:noWrap/>
            <w:vAlign w:val="bottom"/>
            <w:hideMark/>
          </w:tcPr>
          <w:p w14:paraId="22AA6B9E" w14:textId="77777777" w:rsidR="004756BB" w:rsidRPr="00601789" w:rsidRDefault="004756BB" w:rsidP="004756BB">
            <w:r w:rsidRPr="00601789">
              <w:t>Capaldi, Nick (Independent Governor)</w:t>
            </w:r>
          </w:p>
        </w:tc>
        <w:tc>
          <w:tcPr>
            <w:tcW w:w="494" w:type="pct"/>
            <w:tcBorders>
              <w:top w:val="nil"/>
              <w:left w:val="nil"/>
              <w:bottom w:val="nil"/>
              <w:right w:val="nil"/>
            </w:tcBorders>
            <w:shd w:val="clear" w:color="auto" w:fill="auto"/>
            <w:noWrap/>
            <w:vAlign w:val="bottom"/>
          </w:tcPr>
          <w:p w14:paraId="7EEF58BF" w14:textId="46EBC6B4" w:rsidR="004756BB" w:rsidRPr="004756BB" w:rsidRDefault="004756BB" w:rsidP="004756BB">
            <w:r w:rsidRPr="004756BB">
              <w:rPr>
                <w:rFonts w:cs="Arial"/>
              </w:rPr>
              <w:t>Yes</w:t>
            </w:r>
          </w:p>
        </w:tc>
        <w:tc>
          <w:tcPr>
            <w:tcW w:w="494" w:type="pct"/>
            <w:tcBorders>
              <w:top w:val="nil"/>
              <w:left w:val="nil"/>
              <w:bottom w:val="nil"/>
              <w:right w:val="nil"/>
            </w:tcBorders>
            <w:shd w:val="clear" w:color="auto" w:fill="auto"/>
            <w:noWrap/>
            <w:vAlign w:val="bottom"/>
          </w:tcPr>
          <w:p w14:paraId="3F2C9B1C" w14:textId="4EFBB1D1" w:rsidR="004756BB" w:rsidRPr="004756BB" w:rsidRDefault="00306B9B" w:rsidP="004756BB">
            <w:r>
              <w:rPr>
                <w:rFonts w:cs="Arial"/>
              </w:rPr>
              <w:t>Apologies</w:t>
            </w:r>
          </w:p>
        </w:tc>
        <w:tc>
          <w:tcPr>
            <w:tcW w:w="480" w:type="pct"/>
            <w:tcBorders>
              <w:top w:val="nil"/>
              <w:left w:val="nil"/>
              <w:bottom w:val="nil"/>
              <w:right w:val="nil"/>
            </w:tcBorders>
            <w:shd w:val="clear" w:color="auto" w:fill="auto"/>
            <w:noWrap/>
            <w:vAlign w:val="bottom"/>
          </w:tcPr>
          <w:p w14:paraId="2D47679A" w14:textId="5F1A045A" w:rsidR="004756BB" w:rsidRPr="004756BB" w:rsidRDefault="004756BB" w:rsidP="004756BB">
            <w:r w:rsidRPr="004756BB">
              <w:rPr>
                <w:rFonts w:cs="Arial"/>
              </w:rPr>
              <w:t>Yes</w:t>
            </w:r>
          </w:p>
        </w:tc>
        <w:tc>
          <w:tcPr>
            <w:tcW w:w="449" w:type="pct"/>
            <w:tcBorders>
              <w:top w:val="nil"/>
              <w:left w:val="nil"/>
              <w:bottom w:val="nil"/>
              <w:right w:val="nil"/>
            </w:tcBorders>
            <w:shd w:val="clear" w:color="auto" w:fill="auto"/>
            <w:noWrap/>
            <w:vAlign w:val="bottom"/>
          </w:tcPr>
          <w:p w14:paraId="275E3E09" w14:textId="0425C8AA" w:rsidR="004756BB" w:rsidRPr="004756BB" w:rsidRDefault="004756BB" w:rsidP="004756BB">
            <w:r w:rsidRPr="004756BB">
              <w:rPr>
                <w:rFonts w:cs="Arial"/>
              </w:rPr>
              <w:t>Yes</w:t>
            </w:r>
          </w:p>
        </w:tc>
        <w:tc>
          <w:tcPr>
            <w:tcW w:w="463" w:type="pct"/>
            <w:tcBorders>
              <w:top w:val="nil"/>
              <w:left w:val="nil"/>
              <w:bottom w:val="nil"/>
              <w:right w:val="nil"/>
            </w:tcBorders>
            <w:shd w:val="clear" w:color="auto" w:fill="auto"/>
            <w:noWrap/>
            <w:vAlign w:val="bottom"/>
          </w:tcPr>
          <w:p w14:paraId="657EB6DC" w14:textId="388FDEAD" w:rsidR="004756BB" w:rsidRPr="004756BB" w:rsidRDefault="004756BB" w:rsidP="004756BB">
            <w:r w:rsidRPr="004756BB">
              <w:rPr>
                <w:rFonts w:cs="Arial"/>
              </w:rPr>
              <w:t>Yes</w:t>
            </w:r>
          </w:p>
        </w:tc>
        <w:tc>
          <w:tcPr>
            <w:tcW w:w="480" w:type="pct"/>
            <w:tcBorders>
              <w:top w:val="nil"/>
              <w:left w:val="nil"/>
              <w:bottom w:val="nil"/>
              <w:right w:val="nil"/>
            </w:tcBorders>
            <w:noWrap/>
            <w:vAlign w:val="bottom"/>
            <w:hideMark/>
          </w:tcPr>
          <w:p w14:paraId="4939FCB9" w14:textId="77777777" w:rsidR="004756BB" w:rsidRPr="00601789" w:rsidRDefault="004756BB" w:rsidP="004756BB"/>
        </w:tc>
      </w:tr>
      <w:tr w:rsidR="004756BB" w:rsidRPr="00601789" w14:paraId="1BEE5D24" w14:textId="77777777" w:rsidTr="004756BB">
        <w:trPr>
          <w:trHeight w:val="315"/>
        </w:trPr>
        <w:tc>
          <w:tcPr>
            <w:tcW w:w="2138" w:type="pct"/>
            <w:tcBorders>
              <w:top w:val="nil"/>
              <w:left w:val="nil"/>
              <w:bottom w:val="nil"/>
              <w:right w:val="nil"/>
            </w:tcBorders>
            <w:noWrap/>
            <w:vAlign w:val="bottom"/>
            <w:hideMark/>
          </w:tcPr>
          <w:p w14:paraId="51675310" w14:textId="77777777" w:rsidR="004756BB" w:rsidRPr="00601789" w:rsidRDefault="004756BB" w:rsidP="004756BB">
            <w:r w:rsidRPr="00601789">
              <w:t>Connolly, Roisin Lara (Independent Governor)</w:t>
            </w:r>
          </w:p>
        </w:tc>
        <w:tc>
          <w:tcPr>
            <w:tcW w:w="494" w:type="pct"/>
            <w:tcBorders>
              <w:top w:val="nil"/>
              <w:left w:val="nil"/>
              <w:bottom w:val="nil"/>
              <w:right w:val="nil"/>
            </w:tcBorders>
            <w:shd w:val="clear" w:color="auto" w:fill="auto"/>
            <w:noWrap/>
            <w:vAlign w:val="bottom"/>
          </w:tcPr>
          <w:p w14:paraId="03EA757E" w14:textId="20D6FCF3" w:rsidR="004756BB" w:rsidRPr="004756BB" w:rsidRDefault="00306B9B" w:rsidP="004756BB">
            <w:r>
              <w:rPr>
                <w:rFonts w:cs="Arial"/>
              </w:rPr>
              <w:t>Apologies</w:t>
            </w:r>
          </w:p>
        </w:tc>
        <w:tc>
          <w:tcPr>
            <w:tcW w:w="494" w:type="pct"/>
            <w:tcBorders>
              <w:top w:val="nil"/>
              <w:left w:val="nil"/>
              <w:bottom w:val="nil"/>
              <w:right w:val="nil"/>
            </w:tcBorders>
            <w:shd w:val="clear" w:color="auto" w:fill="auto"/>
            <w:noWrap/>
            <w:vAlign w:val="bottom"/>
          </w:tcPr>
          <w:p w14:paraId="54AA0CBB" w14:textId="799C6334" w:rsidR="004756BB" w:rsidRPr="004756BB" w:rsidRDefault="004756BB" w:rsidP="004756BB">
            <w:r w:rsidRPr="004756BB">
              <w:rPr>
                <w:rFonts w:cs="Arial"/>
              </w:rPr>
              <w:t>Yes</w:t>
            </w:r>
          </w:p>
        </w:tc>
        <w:tc>
          <w:tcPr>
            <w:tcW w:w="480" w:type="pct"/>
            <w:tcBorders>
              <w:top w:val="nil"/>
              <w:left w:val="nil"/>
              <w:bottom w:val="nil"/>
              <w:right w:val="nil"/>
            </w:tcBorders>
            <w:shd w:val="clear" w:color="auto" w:fill="auto"/>
            <w:noWrap/>
            <w:vAlign w:val="bottom"/>
          </w:tcPr>
          <w:p w14:paraId="1AB75759" w14:textId="7F96BF52" w:rsidR="004756BB" w:rsidRPr="004756BB" w:rsidRDefault="004756BB" w:rsidP="004756BB">
            <w:r w:rsidRPr="004756BB">
              <w:rPr>
                <w:rFonts w:cs="Arial"/>
              </w:rPr>
              <w:t>Yes</w:t>
            </w:r>
          </w:p>
        </w:tc>
        <w:tc>
          <w:tcPr>
            <w:tcW w:w="449" w:type="pct"/>
            <w:tcBorders>
              <w:top w:val="nil"/>
              <w:left w:val="nil"/>
              <w:bottom w:val="nil"/>
              <w:right w:val="nil"/>
            </w:tcBorders>
            <w:shd w:val="clear" w:color="auto" w:fill="auto"/>
            <w:noWrap/>
            <w:vAlign w:val="bottom"/>
          </w:tcPr>
          <w:p w14:paraId="069EBD03" w14:textId="37DEF295" w:rsidR="004756BB" w:rsidRPr="004756BB" w:rsidRDefault="00306B9B" w:rsidP="004756BB">
            <w:r>
              <w:rPr>
                <w:rFonts w:cs="Arial"/>
              </w:rPr>
              <w:t>Apologies</w:t>
            </w:r>
          </w:p>
        </w:tc>
        <w:tc>
          <w:tcPr>
            <w:tcW w:w="463" w:type="pct"/>
            <w:tcBorders>
              <w:top w:val="nil"/>
              <w:left w:val="nil"/>
              <w:bottom w:val="nil"/>
              <w:right w:val="nil"/>
            </w:tcBorders>
            <w:shd w:val="clear" w:color="auto" w:fill="auto"/>
            <w:noWrap/>
            <w:vAlign w:val="bottom"/>
          </w:tcPr>
          <w:p w14:paraId="12C5E11A" w14:textId="2BA8F444" w:rsidR="004756BB" w:rsidRPr="004756BB" w:rsidRDefault="004756BB" w:rsidP="004756BB">
            <w:r w:rsidRPr="004756BB">
              <w:rPr>
                <w:rFonts w:cs="Arial"/>
              </w:rPr>
              <w:t>Yes</w:t>
            </w:r>
          </w:p>
        </w:tc>
        <w:tc>
          <w:tcPr>
            <w:tcW w:w="480" w:type="pct"/>
            <w:tcBorders>
              <w:top w:val="nil"/>
              <w:left w:val="nil"/>
              <w:bottom w:val="nil"/>
              <w:right w:val="nil"/>
            </w:tcBorders>
            <w:noWrap/>
            <w:vAlign w:val="bottom"/>
            <w:hideMark/>
          </w:tcPr>
          <w:p w14:paraId="4C596116" w14:textId="77777777" w:rsidR="004756BB" w:rsidRPr="00601789" w:rsidRDefault="004756BB" w:rsidP="004756BB"/>
        </w:tc>
      </w:tr>
      <w:tr w:rsidR="004756BB" w:rsidRPr="00601789" w14:paraId="0DD36BC0" w14:textId="77777777" w:rsidTr="004756BB">
        <w:trPr>
          <w:trHeight w:val="315"/>
        </w:trPr>
        <w:tc>
          <w:tcPr>
            <w:tcW w:w="2138" w:type="pct"/>
            <w:tcBorders>
              <w:top w:val="nil"/>
              <w:left w:val="nil"/>
              <w:bottom w:val="nil"/>
              <w:right w:val="nil"/>
            </w:tcBorders>
            <w:noWrap/>
            <w:vAlign w:val="bottom"/>
            <w:hideMark/>
          </w:tcPr>
          <w:p w14:paraId="2277E0E2" w14:textId="77777777" w:rsidR="004756BB" w:rsidRPr="00601789" w:rsidRDefault="004756BB" w:rsidP="004756BB">
            <w:r w:rsidRPr="00601789">
              <w:t>Gonavaram, Venky (Student Governor)</w:t>
            </w:r>
          </w:p>
        </w:tc>
        <w:tc>
          <w:tcPr>
            <w:tcW w:w="494" w:type="pct"/>
            <w:tcBorders>
              <w:top w:val="nil"/>
              <w:left w:val="nil"/>
              <w:bottom w:val="nil"/>
              <w:right w:val="nil"/>
            </w:tcBorders>
            <w:shd w:val="clear" w:color="auto" w:fill="auto"/>
            <w:noWrap/>
            <w:vAlign w:val="bottom"/>
          </w:tcPr>
          <w:p w14:paraId="6BFAF76B" w14:textId="0BAFA0FC" w:rsidR="004756BB" w:rsidRPr="004756BB" w:rsidRDefault="004756BB" w:rsidP="004756BB">
            <w:r w:rsidRPr="004756BB">
              <w:rPr>
                <w:rFonts w:cs="Arial"/>
              </w:rPr>
              <w:t>Yes</w:t>
            </w:r>
          </w:p>
        </w:tc>
        <w:tc>
          <w:tcPr>
            <w:tcW w:w="494" w:type="pct"/>
            <w:tcBorders>
              <w:top w:val="nil"/>
              <w:left w:val="nil"/>
              <w:bottom w:val="nil"/>
              <w:right w:val="nil"/>
            </w:tcBorders>
            <w:shd w:val="clear" w:color="auto" w:fill="auto"/>
            <w:noWrap/>
            <w:vAlign w:val="bottom"/>
          </w:tcPr>
          <w:p w14:paraId="15F2C25A" w14:textId="6BBF9393" w:rsidR="004756BB" w:rsidRPr="004756BB" w:rsidRDefault="004756BB" w:rsidP="004756BB">
            <w:r w:rsidRPr="004756BB">
              <w:rPr>
                <w:rFonts w:cs="Arial"/>
              </w:rPr>
              <w:t>Yes</w:t>
            </w:r>
          </w:p>
        </w:tc>
        <w:tc>
          <w:tcPr>
            <w:tcW w:w="480" w:type="pct"/>
            <w:tcBorders>
              <w:top w:val="nil"/>
              <w:left w:val="nil"/>
              <w:bottom w:val="nil"/>
              <w:right w:val="nil"/>
            </w:tcBorders>
            <w:shd w:val="clear" w:color="auto" w:fill="auto"/>
            <w:noWrap/>
            <w:vAlign w:val="bottom"/>
          </w:tcPr>
          <w:p w14:paraId="1D16C18D" w14:textId="2F8D58CD" w:rsidR="004756BB" w:rsidRPr="004756BB" w:rsidRDefault="004756BB" w:rsidP="004756BB">
            <w:r w:rsidRPr="004756BB">
              <w:rPr>
                <w:rFonts w:cs="Arial"/>
              </w:rPr>
              <w:t>Yes</w:t>
            </w:r>
          </w:p>
        </w:tc>
        <w:tc>
          <w:tcPr>
            <w:tcW w:w="449" w:type="pct"/>
            <w:tcBorders>
              <w:top w:val="nil"/>
              <w:left w:val="nil"/>
              <w:bottom w:val="nil"/>
              <w:right w:val="nil"/>
            </w:tcBorders>
            <w:shd w:val="clear" w:color="auto" w:fill="auto"/>
            <w:noWrap/>
            <w:vAlign w:val="bottom"/>
          </w:tcPr>
          <w:p w14:paraId="0D0C034F" w14:textId="5C94879D" w:rsidR="004756BB" w:rsidRPr="004756BB" w:rsidRDefault="004756BB" w:rsidP="004756BB">
            <w:r w:rsidRPr="004756BB">
              <w:rPr>
                <w:rFonts w:cs="Arial"/>
              </w:rPr>
              <w:t>Yes</w:t>
            </w:r>
          </w:p>
        </w:tc>
        <w:tc>
          <w:tcPr>
            <w:tcW w:w="463" w:type="pct"/>
            <w:tcBorders>
              <w:top w:val="nil"/>
              <w:left w:val="nil"/>
              <w:bottom w:val="nil"/>
              <w:right w:val="nil"/>
            </w:tcBorders>
            <w:shd w:val="clear" w:color="auto" w:fill="auto"/>
            <w:noWrap/>
            <w:vAlign w:val="bottom"/>
          </w:tcPr>
          <w:p w14:paraId="20E7B34F" w14:textId="22DBEABB" w:rsidR="004756BB" w:rsidRPr="004756BB" w:rsidRDefault="00306B9B" w:rsidP="004756BB">
            <w:r>
              <w:rPr>
                <w:rFonts w:cs="Arial"/>
              </w:rPr>
              <w:t>Apologies</w:t>
            </w:r>
          </w:p>
        </w:tc>
        <w:tc>
          <w:tcPr>
            <w:tcW w:w="480" w:type="pct"/>
            <w:tcBorders>
              <w:top w:val="nil"/>
              <w:left w:val="nil"/>
              <w:bottom w:val="nil"/>
              <w:right w:val="nil"/>
            </w:tcBorders>
            <w:noWrap/>
            <w:vAlign w:val="bottom"/>
            <w:hideMark/>
          </w:tcPr>
          <w:p w14:paraId="73D6ADB8" w14:textId="77777777" w:rsidR="004756BB" w:rsidRPr="00601789" w:rsidRDefault="004756BB" w:rsidP="004756BB"/>
        </w:tc>
      </w:tr>
      <w:tr w:rsidR="004756BB" w:rsidRPr="00601789" w14:paraId="63D633FC" w14:textId="77777777" w:rsidTr="004756BB">
        <w:trPr>
          <w:trHeight w:val="315"/>
        </w:trPr>
        <w:tc>
          <w:tcPr>
            <w:tcW w:w="2138" w:type="pct"/>
            <w:tcBorders>
              <w:top w:val="nil"/>
              <w:left w:val="nil"/>
              <w:bottom w:val="nil"/>
              <w:right w:val="nil"/>
            </w:tcBorders>
            <w:noWrap/>
            <w:vAlign w:val="bottom"/>
            <w:hideMark/>
          </w:tcPr>
          <w:p w14:paraId="02D95AA1" w14:textId="77777777" w:rsidR="004756BB" w:rsidRPr="00601789" w:rsidRDefault="004756BB" w:rsidP="004756BB">
            <w:r w:rsidRPr="00601789">
              <w:t>Matthews, Paul (Independent Governor)</w:t>
            </w:r>
          </w:p>
        </w:tc>
        <w:tc>
          <w:tcPr>
            <w:tcW w:w="494" w:type="pct"/>
            <w:tcBorders>
              <w:top w:val="nil"/>
              <w:left w:val="nil"/>
              <w:bottom w:val="nil"/>
              <w:right w:val="nil"/>
            </w:tcBorders>
            <w:shd w:val="clear" w:color="auto" w:fill="auto"/>
            <w:noWrap/>
            <w:vAlign w:val="bottom"/>
          </w:tcPr>
          <w:p w14:paraId="6776769A" w14:textId="705B519F" w:rsidR="004756BB" w:rsidRPr="004756BB" w:rsidRDefault="004756BB" w:rsidP="004756BB">
            <w:r w:rsidRPr="004756BB">
              <w:rPr>
                <w:rFonts w:cs="Arial"/>
              </w:rPr>
              <w:t>Yes</w:t>
            </w:r>
          </w:p>
        </w:tc>
        <w:tc>
          <w:tcPr>
            <w:tcW w:w="494" w:type="pct"/>
            <w:tcBorders>
              <w:top w:val="nil"/>
              <w:left w:val="nil"/>
              <w:bottom w:val="nil"/>
              <w:right w:val="nil"/>
            </w:tcBorders>
            <w:shd w:val="clear" w:color="auto" w:fill="auto"/>
            <w:noWrap/>
            <w:vAlign w:val="bottom"/>
          </w:tcPr>
          <w:p w14:paraId="46B0E0EB" w14:textId="31F91250" w:rsidR="004756BB" w:rsidRPr="004756BB" w:rsidRDefault="00306B9B" w:rsidP="004756BB">
            <w:r>
              <w:rPr>
                <w:rFonts w:cs="Arial"/>
              </w:rPr>
              <w:t>Apologies</w:t>
            </w:r>
          </w:p>
        </w:tc>
        <w:tc>
          <w:tcPr>
            <w:tcW w:w="480" w:type="pct"/>
            <w:tcBorders>
              <w:top w:val="nil"/>
              <w:left w:val="nil"/>
              <w:bottom w:val="nil"/>
              <w:right w:val="nil"/>
            </w:tcBorders>
            <w:shd w:val="clear" w:color="auto" w:fill="auto"/>
            <w:noWrap/>
            <w:vAlign w:val="bottom"/>
          </w:tcPr>
          <w:p w14:paraId="0AB1623A" w14:textId="2F149820" w:rsidR="004756BB" w:rsidRPr="004756BB" w:rsidRDefault="00306B9B" w:rsidP="004756BB">
            <w:r>
              <w:rPr>
                <w:rFonts w:cs="Arial"/>
              </w:rPr>
              <w:t>Apologies</w:t>
            </w:r>
          </w:p>
        </w:tc>
        <w:tc>
          <w:tcPr>
            <w:tcW w:w="449" w:type="pct"/>
            <w:tcBorders>
              <w:top w:val="nil"/>
              <w:left w:val="nil"/>
              <w:bottom w:val="nil"/>
              <w:right w:val="nil"/>
            </w:tcBorders>
            <w:shd w:val="clear" w:color="auto" w:fill="auto"/>
            <w:noWrap/>
            <w:vAlign w:val="bottom"/>
          </w:tcPr>
          <w:p w14:paraId="52121027" w14:textId="58C40F09" w:rsidR="004756BB" w:rsidRPr="004756BB" w:rsidRDefault="00306B9B" w:rsidP="004756BB">
            <w:r>
              <w:rPr>
                <w:rFonts w:cs="Arial"/>
              </w:rPr>
              <w:t>Apologies</w:t>
            </w:r>
          </w:p>
        </w:tc>
        <w:tc>
          <w:tcPr>
            <w:tcW w:w="463" w:type="pct"/>
            <w:tcBorders>
              <w:top w:val="nil"/>
              <w:left w:val="nil"/>
              <w:bottom w:val="nil"/>
              <w:right w:val="nil"/>
            </w:tcBorders>
            <w:shd w:val="clear" w:color="auto" w:fill="auto"/>
            <w:noWrap/>
            <w:vAlign w:val="bottom"/>
          </w:tcPr>
          <w:p w14:paraId="1A029424" w14:textId="335D6472" w:rsidR="004756BB" w:rsidRPr="004756BB" w:rsidRDefault="004756BB" w:rsidP="004756BB">
            <w:r w:rsidRPr="004756BB">
              <w:rPr>
                <w:rFonts w:cs="Arial"/>
              </w:rPr>
              <w:t>Yes</w:t>
            </w:r>
          </w:p>
        </w:tc>
        <w:tc>
          <w:tcPr>
            <w:tcW w:w="480" w:type="pct"/>
            <w:tcBorders>
              <w:top w:val="nil"/>
              <w:left w:val="nil"/>
              <w:bottom w:val="nil"/>
              <w:right w:val="nil"/>
            </w:tcBorders>
            <w:noWrap/>
            <w:vAlign w:val="bottom"/>
            <w:hideMark/>
          </w:tcPr>
          <w:p w14:paraId="6FF9F919" w14:textId="77777777" w:rsidR="004756BB" w:rsidRPr="00601789" w:rsidRDefault="004756BB" w:rsidP="004756BB"/>
        </w:tc>
      </w:tr>
      <w:tr w:rsidR="004756BB" w:rsidRPr="00601789" w14:paraId="61DC5411" w14:textId="77777777" w:rsidTr="004756BB">
        <w:trPr>
          <w:trHeight w:val="315"/>
        </w:trPr>
        <w:tc>
          <w:tcPr>
            <w:tcW w:w="2138" w:type="pct"/>
            <w:tcBorders>
              <w:top w:val="nil"/>
              <w:left w:val="nil"/>
              <w:bottom w:val="nil"/>
              <w:right w:val="nil"/>
            </w:tcBorders>
            <w:noWrap/>
            <w:vAlign w:val="bottom"/>
            <w:hideMark/>
          </w:tcPr>
          <w:p w14:paraId="2B9526C9" w14:textId="16F9EF9E" w:rsidR="004756BB" w:rsidRPr="00601789" w:rsidRDefault="004756BB" w:rsidP="004756BB">
            <w:r>
              <w:t>Nimmo, Myra</w:t>
            </w:r>
            <w:r w:rsidRPr="00601789">
              <w:t xml:space="preserve"> (Independent Governor)</w:t>
            </w:r>
          </w:p>
        </w:tc>
        <w:tc>
          <w:tcPr>
            <w:tcW w:w="494" w:type="pct"/>
            <w:tcBorders>
              <w:top w:val="nil"/>
              <w:left w:val="nil"/>
              <w:bottom w:val="nil"/>
              <w:right w:val="nil"/>
            </w:tcBorders>
            <w:shd w:val="clear" w:color="auto" w:fill="auto"/>
            <w:noWrap/>
            <w:vAlign w:val="bottom"/>
          </w:tcPr>
          <w:p w14:paraId="13FDB780" w14:textId="20E32E80" w:rsidR="004756BB" w:rsidRPr="004756BB" w:rsidRDefault="004756BB" w:rsidP="004756BB">
            <w:r w:rsidRPr="004756BB">
              <w:rPr>
                <w:rFonts w:cs="Arial"/>
              </w:rPr>
              <w:t>Yes</w:t>
            </w:r>
          </w:p>
        </w:tc>
        <w:tc>
          <w:tcPr>
            <w:tcW w:w="494" w:type="pct"/>
            <w:tcBorders>
              <w:top w:val="nil"/>
              <w:left w:val="nil"/>
              <w:bottom w:val="nil"/>
              <w:right w:val="nil"/>
            </w:tcBorders>
            <w:shd w:val="clear" w:color="auto" w:fill="auto"/>
            <w:noWrap/>
            <w:vAlign w:val="bottom"/>
          </w:tcPr>
          <w:p w14:paraId="0775721C" w14:textId="467BAA1C" w:rsidR="004756BB" w:rsidRPr="004756BB" w:rsidRDefault="004756BB" w:rsidP="004756BB">
            <w:r w:rsidRPr="004756BB">
              <w:rPr>
                <w:rFonts w:cs="Arial"/>
              </w:rPr>
              <w:t>Yes</w:t>
            </w:r>
          </w:p>
        </w:tc>
        <w:tc>
          <w:tcPr>
            <w:tcW w:w="480" w:type="pct"/>
            <w:tcBorders>
              <w:top w:val="nil"/>
              <w:left w:val="nil"/>
              <w:bottom w:val="nil"/>
              <w:right w:val="nil"/>
            </w:tcBorders>
            <w:shd w:val="clear" w:color="auto" w:fill="auto"/>
            <w:noWrap/>
            <w:vAlign w:val="bottom"/>
          </w:tcPr>
          <w:p w14:paraId="3FA75006" w14:textId="1139C433" w:rsidR="004756BB" w:rsidRPr="004756BB" w:rsidRDefault="004756BB" w:rsidP="004756BB">
            <w:r w:rsidRPr="004756BB">
              <w:rPr>
                <w:rFonts w:cs="Arial"/>
              </w:rPr>
              <w:t>Yes</w:t>
            </w:r>
          </w:p>
        </w:tc>
        <w:tc>
          <w:tcPr>
            <w:tcW w:w="449" w:type="pct"/>
            <w:tcBorders>
              <w:top w:val="nil"/>
              <w:left w:val="nil"/>
              <w:bottom w:val="nil"/>
              <w:right w:val="nil"/>
            </w:tcBorders>
            <w:shd w:val="clear" w:color="auto" w:fill="auto"/>
            <w:noWrap/>
            <w:vAlign w:val="bottom"/>
          </w:tcPr>
          <w:p w14:paraId="10B5C455" w14:textId="70288BB3" w:rsidR="004756BB" w:rsidRPr="004756BB" w:rsidRDefault="004756BB" w:rsidP="004756BB">
            <w:r w:rsidRPr="004756BB">
              <w:rPr>
                <w:rFonts w:cs="Arial"/>
              </w:rPr>
              <w:t>Yes</w:t>
            </w:r>
          </w:p>
        </w:tc>
        <w:tc>
          <w:tcPr>
            <w:tcW w:w="463" w:type="pct"/>
            <w:tcBorders>
              <w:top w:val="nil"/>
              <w:left w:val="nil"/>
              <w:bottom w:val="nil"/>
              <w:right w:val="nil"/>
            </w:tcBorders>
            <w:shd w:val="clear" w:color="auto" w:fill="auto"/>
            <w:noWrap/>
            <w:vAlign w:val="bottom"/>
          </w:tcPr>
          <w:p w14:paraId="2839B5AA" w14:textId="5E84548D" w:rsidR="004756BB" w:rsidRPr="004756BB" w:rsidRDefault="004756BB" w:rsidP="004756BB">
            <w:r w:rsidRPr="004756BB">
              <w:rPr>
                <w:rFonts w:cs="Arial"/>
              </w:rPr>
              <w:t>n/a</w:t>
            </w:r>
          </w:p>
        </w:tc>
        <w:tc>
          <w:tcPr>
            <w:tcW w:w="480" w:type="pct"/>
            <w:tcBorders>
              <w:top w:val="nil"/>
              <w:left w:val="nil"/>
              <w:bottom w:val="nil"/>
              <w:right w:val="nil"/>
            </w:tcBorders>
            <w:noWrap/>
            <w:vAlign w:val="bottom"/>
            <w:hideMark/>
          </w:tcPr>
          <w:p w14:paraId="48FB0ADB" w14:textId="77777777" w:rsidR="004756BB" w:rsidRPr="00601789" w:rsidRDefault="004756BB" w:rsidP="004756BB"/>
        </w:tc>
      </w:tr>
      <w:tr w:rsidR="004756BB" w:rsidRPr="00601789" w14:paraId="15AD2553" w14:textId="77777777" w:rsidTr="004756BB">
        <w:trPr>
          <w:trHeight w:val="315"/>
        </w:trPr>
        <w:tc>
          <w:tcPr>
            <w:tcW w:w="2138" w:type="pct"/>
            <w:tcBorders>
              <w:top w:val="nil"/>
              <w:left w:val="nil"/>
              <w:bottom w:val="nil"/>
              <w:right w:val="nil"/>
            </w:tcBorders>
            <w:noWrap/>
            <w:vAlign w:val="bottom"/>
            <w:hideMark/>
          </w:tcPr>
          <w:p w14:paraId="5C91E837" w14:textId="77777777" w:rsidR="004756BB" w:rsidRPr="00601789" w:rsidRDefault="004756BB" w:rsidP="004756BB">
            <w:r w:rsidRPr="00601789">
              <w:t>Taylor, John (Chair &amp; Chair of the Board)</w:t>
            </w:r>
          </w:p>
        </w:tc>
        <w:tc>
          <w:tcPr>
            <w:tcW w:w="494" w:type="pct"/>
            <w:tcBorders>
              <w:top w:val="nil"/>
              <w:left w:val="nil"/>
              <w:bottom w:val="nil"/>
              <w:right w:val="nil"/>
            </w:tcBorders>
            <w:shd w:val="clear" w:color="auto" w:fill="auto"/>
            <w:noWrap/>
            <w:vAlign w:val="bottom"/>
          </w:tcPr>
          <w:p w14:paraId="6486703A" w14:textId="15AC8F19" w:rsidR="004756BB" w:rsidRPr="004756BB" w:rsidRDefault="004756BB" w:rsidP="004756BB">
            <w:r w:rsidRPr="004756BB">
              <w:rPr>
                <w:rFonts w:cs="Arial"/>
              </w:rPr>
              <w:t>Yes</w:t>
            </w:r>
          </w:p>
        </w:tc>
        <w:tc>
          <w:tcPr>
            <w:tcW w:w="494" w:type="pct"/>
            <w:tcBorders>
              <w:top w:val="nil"/>
              <w:left w:val="nil"/>
              <w:bottom w:val="nil"/>
              <w:right w:val="nil"/>
            </w:tcBorders>
            <w:shd w:val="clear" w:color="auto" w:fill="auto"/>
            <w:noWrap/>
            <w:vAlign w:val="bottom"/>
          </w:tcPr>
          <w:p w14:paraId="148C50A4" w14:textId="17FA7ED0" w:rsidR="004756BB" w:rsidRPr="004756BB" w:rsidRDefault="004756BB" w:rsidP="004756BB">
            <w:r w:rsidRPr="004756BB">
              <w:rPr>
                <w:rFonts w:cs="Arial"/>
              </w:rPr>
              <w:t>Yes</w:t>
            </w:r>
          </w:p>
        </w:tc>
        <w:tc>
          <w:tcPr>
            <w:tcW w:w="480" w:type="pct"/>
            <w:tcBorders>
              <w:top w:val="nil"/>
              <w:left w:val="nil"/>
              <w:bottom w:val="nil"/>
              <w:right w:val="nil"/>
            </w:tcBorders>
            <w:shd w:val="clear" w:color="auto" w:fill="auto"/>
            <w:noWrap/>
            <w:vAlign w:val="bottom"/>
          </w:tcPr>
          <w:p w14:paraId="65FE68CF" w14:textId="7FDFA509" w:rsidR="004756BB" w:rsidRPr="004756BB" w:rsidRDefault="004756BB" w:rsidP="004756BB">
            <w:r w:rsidRPr="004756BB">
              <w:rPr>
                <w:rFonts w:cs="Arial"/>
              </w:rPr>
              <w:t>Yes</w:t>
            </w:r>
          </w:p>
        </w:tc>
        <w:tc>
          <w:tcPr>
            <w:tcW w:w="449" w:type="pct"/>
            <w:tcBorders>
              <w:top w:val="nil"/>
              <w:left w:val="nil"/>
              <w:bottom w:val="nil"/>
              <w:right w:val="nil"/>
            </w:tcBorders>
            <w:shd w:val="clear" w:color="auto" w:fill="auto"/>
            <w:noWrap/>
            <w:vAlign w:val="bottom"/>
          </w:tcPr>
          <w:p w14:paraId="6C07C71B" w14:textId="41CB424E" w:rsidR="004756BB" w:rsidRPr="004756BB" w:rsidRDefault="004756BB" w:rsidP="004756BB">
            <w:r w:rsidRPr="004756BB">
              <w:rPr>
                <w:rFonts w:cs="Arial"/>
              </w:rPr>
              <w:t>Yes</w:t>
            </w:r>
          </w:p>
        </w:tc>
        <w:tc>
          <w:tcPr>
            <w:tcW w:w="463" w:type="pct"/>
            <w:tcBorders>
              <w:top w:val="nil"/>
              <w:left w:val="nil"/>
              <w:bottom w:val="nil"/>
              <w:right w:val="nil"/>
            </w:tcBorders>
            <w:shd w:val="clear" w:color="auto" w:fill="auto"/>
            <w:noWrap/>
            <w:vAlign w:val="bottom"/>
          </w:tcPr>
          <w:p w14:paraId="016E44F5" w14:textId="2DBB83BA" w:rsidR="004756BB" w:rsidRPr="004756BB" w:rsidRDefault="004756BB" w:rsidP="004756BB">
            <w:r w:rsidRPr="004756BB">
              <w:rPr>
                <w:rFonts w:cs="Arial"/>
              </w:rPr>
              <w:t>Yes</w:t>
            </w:r>
          </w:p>
        </w:tc>
        <w:tc>
          <w:tcPr>
            <w:tcW w:w="480" w:type="pct"/>
            <w:tcBorders>
              <w:top w:val="nil"/>
              <w:left w:val="nil"/>
              <w:bottom w:val="nil"/>
              <w:right w:val="nil"/>
            </w:tcBorders>
            <w:noWrap/>
            <w:vAlign w:val="bottom"/>
            <w:hideMark/>
          </w:tcPr>
          <w:p w14:paraId="7E581F13" w14:textId="77777777" w:rsidR="004756BB" w:rsidRPr="00601789" w:rsidRDefault="004756BB" w:rsidP="004756BB"/>
        </w:tc>
      </w:tr>
      <w:tr w:rsidR="004756BB" w:rsidRPr="00601789" w14:paraId="0613A8B3" w14:textId="77777777" w:rsidTr="004756BB">
        <w:trPr>
          <w:trHeight w:val="315"/>
        </w:trPr>
        <w:tc>
          <w:tcPr>
            <w:tcW w:w="2138" w:type="pct"/>
            <w:tcBorders>
              <w:top w:val="nil"/>
              <w:left w:val="nil"/>
              <w:bottom w:val="nil"/>
              <w:right w:val="nil"/>
            </w:tcBorders>
            <w:noWrap/>
            <w:vAlign w:val="bottom"/>
            <w:hideMark/>
          </w:tcPr>
          <w:p w14:paraId="2E7DA51D" w14:textId="77777777" w:rsidR="004756BB" w:rsidRPr="00601789" w:rsidRDefault="004756BB" w:rsidP="004756BB">
            <w:r w:rsidRPr="00601789">
              <w:t>Dr Turner, Christopher</w:t>
            </w:r>
          </w:p>
        </w:tc>
        <w:tc>
          <w:tcPr>
            <w:tcW w:w="494" w:type="pct"/>
            <w:tcBorders>
              <w:top w:val="nil"/>
              <w:left w:val="nil"/>
              <w:bottom w:val="nil"/>
              <w:right w:val="nil"/>
            </w:tcBorders>
            <w:shd w:val="clear" w:color="auto" w:fill="auto"/>
            <w:noWrap/>
            <w:vAlign w:val="bottom"/>
          </w:tcPr>
          <w:p w14:paraId="253419B6" w14:textId="0DB944CD" w:rsidR="004756BB" w:rsidRPr="004756BB" w:rsidRDefault="004756BB" w:rsidP="004756BB">
            <w:r w:rsidRPr="004756BB">
              <w:rPr>
                <w:rFonts w:cs="Arial"/>
              </w:rPr>
              <w:t>Yes</w:t>
            </w:r>
          </w:p>
        </w:tc>
        <w:tc>
          <w:tcPr>
            <w:tcW w:w="494" w:type="pct"/>
            <w:tcBorders>
              <w:top w:val="nil"/>
              <w:left w:val="nil"/>
              <w:bottom w:val="nil"/>
              <w:right w:val="nil"/>
            </w:tcBorders>
            <w:shd w:val="clear" w:color="auto" w:fill="auto"/>
            <w:noWrap/>
            <w:vAlign w:val="bottom"/>
          </w:tcPr>
          <w:p w14:paraId="5ACB1C3B" w14:textId="179111DD" w:rsidR="004756BB" w:rsidRPr="004756BB" w:rsidRDefault="004756BB" w:rsidP="004756BB">
            <w:r w:rsidRPr="004756BB">
              <w:rPr>
                <w:rFonts w:cs="Arial"/>
              </w:rPr>
              <w:t>Yes</w:t>
            </w:r>
          </w:p>
        </w:tc>
        <w:tc>
          <w:tcPr>
            <w:tcW w:w="480" w:type="pct"/>
            <w:tcBorders>
              <w:top w:val="nil"/>
              <w:left w:val="nil"/>
              <w:bottom w:val="nil"/>
              <w:right w:val="nil"/>
            </w:tcBorders>
            <w:shd w:val="clear" w:color="auto" w:fill="auto"/>
            <w:noWrap/>
            <w:vAlign w:val="bottom"/>
          </w:tcPr>
          <w:p w14:paraId="3D06D75B" w14:textId="33671743" w:rsidR="004756BB" w:rsidRPr="004756BB" w:rsidRDefault="004756BB" w:rsidP="004756BB">
            <w:r w:rsidRPr="004756BB">
              <w:rPr>
                <w:rFonts w:cs="Arial"/>
              </w:rPr>
              <w:t>Yes</w:t>
            </w:r>
          </w:p>
        </w:tc>
        <w:tc>
          <w:tcPr>
            <w:tcW w:w="449" w:type="pct"/>
            <w:tcBorders>
              <w:top w:val="nil"/>
              <w:left w:val="nil"/>
              <w:bottom w:val="nil"/>
              <w:right w:val="nil"/>
            </w:tcBorders>
            <w:shd w:val="clear" w:color="auto" w:fill="auto"/>
            <w:noWrap/>
            <w:vAlign w:val="bottom"/>
          </w:tcPr>
          <w:p w14:paraId="4A808251" w14:textId="14F4463A" w:rsidR="004756BB" w:rsidRPr="004756BB" w:rsidRDefault="004756BB" w:rsidP="004756BB">
            <w:r w:rsidRPr="004756BB">
              <w:rPr>
                <w:rFonts w:cs="Arial"/>
              </w:rPr>
              <w:t>Yes</w:t>
            </w:r>
          </w:p>
        </w:tc>
        <w:tc>
          <w:tcPr>
            <w:tcW w:w="463" w:type="pct"/>
            <w:tcBorders>
              <w:top w:val="nil"/>
              <w:left w:val="nil"/>
              <w:bottom w:val="nil"/>
              <w:right w:val="nil"/>
            </w:tcBorders>
            <w:shd w:val="clear" w:color="auto" w:fill="auto"/>
            <w:noWrap/>
            <w:vAlign w:val="bottom"/>
          </w:tcPr>
          <w:p w14:paraId="3F144979" w14:textId="4A6A12CC" w:rsidR="004756BB" w:rsidRPr="004756BB" w:rsidRDefault="00306B9B" w:rsidP="004756BB">
            <w:r>
              <w:rPr>
                <w:rFonts w:cs="Arial"/>
              </w:rPr>
              <w:t>Apologies</w:t>
            </w:r>
          </w:p>
        </w:tc>
        <w:tc>
          <w:tcPr>
            <w:tcW w:w="480" w:type="pct"/>
            <w:tcBorders>
              <w:top w:val="nil"/>
              <w:left w:val="nil"/>
              <w:bottom w:val="nil"/>
              <w:right w:val="nil"/>
            </w:tcBorders>
            <w:noWrap/>
            <w:vAlign w:val="bottom"/>
            <w:hideMark/>
          </w:tcPr>
          <w:p w14:paraId="08537DF4" w14:textId="77777777" w:rsidR="004756BB" w:rsidRPr="00601789" w:rsidRDefault="004756BB" w:rsidP="004756BB"/>
        </w:tc>
      </w:tr>
    </w:tbl>
    <w:p w14:paraId="325C72F0" w14:textId="77777777" w:rsidR="00AA1862" w:rsidRDefault="00AA1862" w:rsidP="00B63EE9"/>
    <w:p w14:paraId="29183974" w14:textId="45EF49BC" w:rsidR="004918D0" w:rsidRDefault="004918D0" w:rsidP="00691E76"/>
    <w:sectPr w:rsidR="004918D0" w:rsidSect="00601789">
      <w:pgSz w:w="16838" w:h="11906" w:orient="landscape"/>
      <w:pgMar w:top="1440"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0AE1" w14:textId="77777777" w:rsidR="00AD1F01" w:rsidRDefault="00AD1F01" w:rsidP="00691E76">
      <w:r>
        <w:separator/>
      </w:r>
    </w:p>
  </w:endnote>
  <w:endnote w:type="continuationSeparator" w:id="0">
    <w:p w14:paraId="1027DC6D" w14:textId="77777777" w:rsidR="00AD1F01" w:rsidRDefault="00AD1F01" w:rsidP="00691E76">
      <w:r>
        <w:continuationSeparator/>
      </w:r>
    </w:p>
  </w:endnote>
  <w:endnote w:type="continuationNotice" w:id="1">
    <w:p w14:paraId="06199B06" w14:textId="77777777" w:rsidR="00AD1F01" w:rsidRDefault="00AD1F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62906"/>
      <w:docPartObj>
        <w:docPartGallery w:val="Page Numbers (Bottom of Page)"/>
        <w:docPartUnique/>
      </w:docPartObj>
    </w:sdtPr>
    <w:sdtEndPr>
      <w:rPr>
        <w:noProof/>
      </w:rPr>
    </w:sdtEndPr>
    <w:sdtContent>
      <w:p w14:paraId="613AB7FD" w14:textId="35D88D91" w:rsidR="00DD3855" w:rsidRDefault="00810924" w:rsidP="00420601">
        <w:pPr>
          <w:pStyle w:val="Footer"/>
          <w:jc w:val="center"/>
        </w:pPr>
        <w:r>
          <w:br/>
        </w:r>
        <w:r w:rsidR="00DD3855">
          <w:fldChar w:fldCharType="begin"/>
        </w:r>
        <w:r w:rsidR="00DD3855">
          <w:instrText xml:space="preserve"> PAGE   \* MERGEFORMAT </w:instrText>
        </w:r>
        <w:r w:rsidR="00DD3855">
          <w:fldChar w:fldCharType="separate"/>
        </w:r>
        <w:r w:rsidR="00217706">
          <w:rPr>
            <w:noProof/>
          </w:rPr>
          <w:t>1</w:t>
        </w:r>
        <w:r w:rsidR="00DD3855">
          <w:rPr>
            <w:noProof/>
          </w:rPr>
          <w:fldChar w:fldCharType="end"/>
        </w:r>
      </w:p>
    </w:sdtContent>
  </w:sdt>
  <w:p w14:paraId="694CF5E4" w14:textId="77777777" w:rsidR="00DD3855" w:rsidRDefault="00DD3855" w:rsidP="0069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C228" w14:textId="77777777" w:rsidR="00AD1F01" w:rsidRDefault="00AD1F01" w:rsidP="00691E76">
      <w:r>
        <w:separator/>
      </w:r>
    </w:p>
  </w:footnote>
  <w:footnote w:type="continuationSeparator" w:id="0">
    <w:p w14:paraId="6BDBB917" w14:textId="77777777" w:rsidR="00AD1F01" w:rsidRDefault="00AD1F01" w:rsidP="00691E76">
      <w:r>
        <w:continuationSeparator/>
      </w:r>
    </w:p>
  </w:footnote>
  <w:footnote w:type="continuationNotice" w:id="1">
    <w:p w14:paraId="4A3BA315" w14:textId="77777777" w:rsidR="00AD1F01" w:rsidRDefault="00AD1F01">
      <w:pPr>
        <w:spacing w:after="0"/>
      </w:pPr>
    </w:p>
  </w:footnote>
  <w:footnote w:id="2">
    <w:p w14:paraId="26DB3459" w14:textId="77777777" w:rsidR="00954A78" w:rsidRDefault="00954A78" w:rsidP="00954A78">
      <w:pPr>
        <w:pStyle w:val="FootnoteText"/>
      </w:pPr>
      <w:r>
        <w:rPr>
          <w:rStyle w:val="FootnoteReference"/>
        </w:rPr>
        <w:footnoteRef/>
      </w:r>
      <w:r>
        <w:t xml:space="preserve"> </w:t>
      </w:r>
      <w:hyperlink r:id="rId1" w:history="1">
        <w:r w:rsidRPr="005D3389">
          <w:rPr>
            <w:rStyle w:val="Hyperlink"/>
          </w:rPr>
          <w:t>W22-19HE-Fee-and-access-plan-application-guidance-English.pdf (hefcw.ac.uk)</w:t>
        </w:r>
      </w:hyperlink>
    </w:p>
  </w:footnote>
  <w:footnote w:id="3">
    <w:p w14:paraId="7D09DDB1" w14:textId="77777777" w:rsidR="00D1176B" w:rsidRDefault="00D1176B" w:rsidP="00D1176B">
      <w:r>
        <w:footnoteRef/>
      </w:r>
      <w:r>
        <w:rPr>
          <w:sz w:val="20"/>
        </w:rPr>
        <w:t xml:space="preserve"> </w:t>
      </w:r>
      <w:r w:rsidRPr="00C52633">
        <w:rPr>
          <w:sz w:val="20"/>
          <w:szCs w:val="20"/>
        </w:rPr>
        <w:t>The SPPC will consider Estates Masterplanning from a strategic perspective and make recommendations to the Board of Governors on the overall plan; the Resources Committee will consider the establishment, development and monitoring of the Estates Strategy including the acquisition and disposal of land and buildings and the effective and efficient use of resources related to this as well as the purchase of capital goods and services in accordance with the provisions of the financial regulations.</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8E6A" w14:textId="47145DDD" w:rsidR="00DD3855" w:rsidRDefault="00AD1F01" w:rsidP="00691E76">
    <w:pPr>
      <w:pStyle w:val="Header"/>
    </w:pPr>
    <w:r>
      <w:rPr>
        <w:noProof/>
      </w:rPr>
      <w:pict w14:anchorId="3E546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4.5pt;height:181.8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6A3"/>
    <w:multiLevelType w:val="multilevel"/>
    <w:tmpl w:val="75D4C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03B8F"/>
    <w:multiLevelType w:val="multilevel"/>
    <w:tmpl w:val="20165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B47C9"/>
    <w:multiLevelType w:val="multilevel"/>
    <w:tmpl w:val="59B85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20652"/>
    <w:multiLevelType w:val="multilevel"/>
    <w:tmpl w:val="4288C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0676A"/>
    <w:multiLevelType w:val="multilevel"/>
    <w:tmpl w:val="47CA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1516B"/>
    <w:multiLevelType w:val="multilevel"/>
    <w:tmpl w:val="99A4D4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F79AB"/>
    <w:multiLevelType w:val="hybridMultilevel"/>
    <w:tmpl w:val="F11C6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6B0302"/>
    <w:multiLevelType w:val="multilevel"/>
    <w:tmpl w:val="157CA7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7B4E3D"/>
    <w:multiLevelType w:val="multilevel"/>
    <w:tmpl w:val="7F80EA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E7AD0"/>
    <w:multiLevelType w:val="multilevel"/>
    <w:tmpl w:val="9092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475EE1"/>
    <w:multiLevelType w:val="multilevel"/>
    <w:tmpl w:val="496C1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D6B6D"/>
    <w:multiLevelType w:val="multilevel"/>
    <w:tmpl w:val="ECD69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3917C2"/>
    <w:multiLevelType w:val="multilevel"/>
    <w:tmpl w:val="5F5E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406EB0"/>
    <w:multiLevelType w:val="multilevel"/>
    <w:tmpl w:val="2E4A1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AE7352"/>
    <w:multiLevelType w:val="multilevel"/>
    <w:tmpl w:val="CE6A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26124E"/>
    <w:multiLevelType w:val="multilevel"/>
    <w:tmpl w:val="C59450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8271F5"/>
    <w:multiLevelType w:val="multilevel"/>
    <w:tmpl w:val="37449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93310D"/>
    <w:multiLevelType w:val="multilevel"/>
    <w:tmpl w:val="ED661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E552F3"/>
    <w:multiLevelType w:val="multilevel"/>
    <w:tmpl w:val="127EB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6C7A1B"/>
    <w:multiLevelType w:val="multilevel"/>
    <w:tmpl w:val="527E29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677876"/>
    <w:multiLevelType w:val="multilevel"/>
    <w:tmpl w:val="390CC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8D795E"/>
    <w:multiLevelType w:val="hybridMultilevel"/>
    <w:tmpl w:val="B4C8C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99514D"/>
    <w:multiLevelType w:val="multilevel"/>
    <w:tmpl w:val="76AAB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B2B68"/>
    <w:multiLevelType w:val="multilevel"/>
    <w:tmpl w:val="C02A99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D60E4E"/>
    <w:multiLevelType w:val="multilevel"/>
    <w:tmpl w:val="CE5E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F92D4B"/>
    <w:multiLevelType w:val="multilevel"/>
    <w:tmpl w:val="C8781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923866"/>
    <w:multiLevelType w:val="hybridMultilevel"/>
    <w:tmpl w:val="D92C1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3411EC"/>
    <w:multiLevelType w:val="hybridMultilevel"/>
    <w:tmpl w:val="6F9E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D50C5C"/>
    <w:multiLevelType w:val="hybridMultilevel"/>
    <w:tmpl w:val="D35AB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412C5D"/>
    <w:multiLevelType w:val="multilevel"/>
    <w:tmpl w:val="3F8C52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17FC4"/>
    <w:multiLevelType w:val="multilevel"/>
    <w:tmpl w:val="D1CC2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FCE7F16"/>
    <w:multiLevelType w:val="multilevel"/>
    <w:tmpl w:val="957C63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082485"/>
    <w:multiLevelType w:val="multilevel"/>
    <w:tmpl w:val="6E3C9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E94BBA"/>
    <w:multiLevelType w:val="multilevel"/>
    <w:tmpl w:val="C9124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24533C"/>
    <w:multiLevelType w:val="hybridMultilevel"/>
    <w:tmpl w:val="421A70F8"/>
    <w:lvl w:ilvl="0" w:tplc="08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924" w:hanging="360"/>
      </w:pPr>
    </w:lvl>
    <w:lvl w:ilvl="2" w:tplc="0AA25540">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BACF2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28A4E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26548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B4C8B8">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46CE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67A6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EB2369"/>
    <w:multiLevelType w:val="multilevel"/>
    <w:tmpl w:val="45BC9A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0D487A"/>
    <w:multiLevelType w:val="multilevel"/>
    <w:tmpl w:val="66C63C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135136">
    <w:abstractNumId w:val="35"/>
  </w:num>
  <w:num w:numId="2" w16cid:durableId="2086100886">
    <w:abstractNumId w:val="21"/>
  </w:num>
  <w:num w:numId="3" w16cid:durableId="1580166370">
    <w:abstractNumId w:val="8"/>
  </w:num>
  <w:num w:numId="4" w16cid:durableId="1234047761">
    <w:abstractNumId w:val="11"/>
  </w:num>
  <w:num w:numId="5" w16cid:durableId="1679893304">
    <w:abstractNumId w:val="12"/>
  </w:num>
  <w:num w:numId="6" w16cid:durableId="567499537">
    <w:abstractNumId w:val="17"/>
  </w:num>
  <w:num w:numId="7" w16cid:durableId="1803384256">
    <w:abstractNumId w:val="22"/>
  </w:num>
  <w:num w:numId="8" w16cid:durableId="232934645">
    <w:abstractNumId w:val="19"/>
  </w:num>
  <w:num w:numId="9" w16cid:durableId="696390789">
    <w:abstractNumId w:val="1"/>
  </w:num>
  <w:num w:numId="10" w16cid:durableId="1911504715">
    <w:abstractNumId w:val="27"/>
  </w:num>
  <w:num w:numId="11" w16cid:durableId="1816943829">
    <w:abstractNumId w:val="9"/>
  </w:num>
  <w:num w:numId="12" w16cid:durableId="477110975">
    <w:abstractNumId w:val="39"/>
  </w:num>
  <w:num w:numId="13" w16cid:durableId="933975757">
    <w:abstractNumId w:val="30"/>
  </w:num>
  <w:num w:numId="14" w16cid:durableId="1913345159">
    <w:abstractNumId w:val="6"/>
  </w:num>
  <w:num w:numId="15" w16cid:durableId="861354906">
    <w:abstractNumId w:val="32"/>
  </w:num>
  <w:num w:numId="16" w16cid:durableId="1130368732">
    <w:abstractNumId w:val="24"/>
  </w:num>
  <w:num w:numId="17" w16cid:durableId="252517414">
    <w:abstractNumId w:val="13"/>
  </w:num>
  <w:num w:numId="18" w16cid:durableId="96370218">
    <w:abstractNumId w:val="41"/>
  </w:num>
  <w:num w:numId="19" w16cid:durableId="662389531">
    <w:abstractNumId w:val="33"/>
  </w:num>
  <w:num w:numId="20" w16cid:durableId="1457406750">
    <w:abstractNumId w:val="18"/>
  </w:num>
  <w:num w:numId="21" w16cid:durableId="1006901068">
    <w:abstractNumId w:val="14"/>
  </w:num>
  <w:num w:numId="22" w16cid:durableId="526523056">
    <w:abstractNumId w:val="36"/>
  </w:num>
  <w:num w:numId="23" w16cid:durableId="567113875">
    <w:abstractNumId w:val="15"/>
  </w:num>
  <w:num w:numId="24" w16cid:durableId="1404064095">
    <w:abstractNumId w:val="3"/>
  </w:num>
  <w:num w:numId="25" w16cid:durableId="2035837773">
    <w:abstractNumId w:val="28"/>
  </w:num>
  <w:num w:numId="26" w16cid:durableId="680083694">
    <w:abstractNumId w:val="0"/>
  </w:num>
  <w:num w:numId="27" w16cid:durableId="764573145">
    <w:abstractNumId w:val="38"/>
  </w:num>
  <w:num w:numId="28" w16cid:durableId="889147923">
    <w:abstractNumId w:val="37"/>
  </w:num>
  <w:num w:numId="29" w16cid:durableId="520093896">
    <w:abstractNumId w:val="10"/>
  </w:num>
  <w:num w:numId="30" w16cid:durableId="1584795701">
    <w:abstractNumId w:val="16"/>
  </w:num>
  <w:num w:numId="31" w16cid:durableId="248857979">
    <w:abstractNumId w:val="23"/>
  </w:num>
  <w:num w:numId="32" w16cid:durableId="1053579068">
    <w:abstractNumId w:val="5"/>
  </w:num>
  <w:num w:numId="33" w16cid:durableId="519121365">
    <w:abstractNumId w:val="7"/>
  </w:num>
  <w:num w:numId="34" w16cid:durableId="466169207">
    <w:abstractNumId w:val="4"/>
  </w:num>
  <w:num w:numId="35" w16cid:durableId="1367825520">
    <w:abstractNumId w:val="2"/>
  </w:num>
  <w:num w:numId="36" w16cid:durableId="1936479807">
    <w:abstractNumId w:val="20"/>
  </w:num>
  <w:num w:numId="37" w16cid:durableId="1295528383">
    <w:abstractNumId w:val="29"/>
  </w:num>
  <w:num w:numId="38" w16cid:durableId="397752203">
    <w:abstractNumId w:val="34"/>
  </w:num>
  <w:num w:numId="39" w16cid:durableId="1866476197">
    <w:abstractNumId w:val="26"/>
  </w:num>
  <w:num w:numId="40" w16cid:durableId="1309630634">
    <w:abstractNumId w:val="40"/>
  </w:num>
  <w:num w:numId="41" w16cid:durableId="322779962">
    <w:abstractNumId w:val="31"/>
  </w:num>
  <w:num w:numId="42" w16cid:durableId="918487541">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ocumentProtection w:edit="readOnly" w:enforcement="1" w:cryptProviderType="rsaAES" w:cryptAlgorithmClass="hash" w:cryptAlgorithmType="typeAny" w:cryptAlgorithmSid="14" w:cryptSpinCount="100000" w:hash="QR7ZkvemY8XErWHVW11682T6SQdlKE67jIojXiXY9Fy2UbIyyg4NZJ9YJwQkbXgzj4O+lzM25Co06X7BiL06tQ==" w:salt="oFtssDALi7L63zPfWR40V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15A8"/>
    <w:rsid w:val="000017E3"/>
    <w:rsid w:val="00002F83"/>
    <w:rsid w:val="00004F61"/>
    <w:rsid w:val="0000612E"/>
    <w:rsid w:val="00007BFE"/>
    <w:rsid w:val="00010351"/>
    <w:rsid w:val="00010EB8"/>
    <w:rsid w:val="00012B00"/>
    <w:rsid w:val="00012EE3"/>
    <w:rsid w:val="0001551F"/>
    <w:rsid w:val="00015579"/>
    <w:rsid w:val="00015CC3"/>
    <w:rsid w:val="00015FA1"/>
    <w:rsid w:val="00017254"/>
    <w:rsid w:val="00017C0E"/>
    <w:rsid w:val="00022E57"/>
    <w:rsid w:val="00023100"/>
    <w:rsid w:val="000233F6"/>
    <w:rsid w:val="00023912"/>
    <w:rsid w:val="00025CA4"/>
    <w:rsid w:val="00026BFA"/>
    <w:rsid w:val="000311C2"/>
    <w:rsid w:val="00031DEB"/>
    <w:rsid w:val="00031E8D"/>
    <w:rsid w:val="0003495A"/>
    <w:rsid w:val="00034D88"/>
    <w:rsid w:val="000364BD"/>
    <w:rsid w:val="00036666"/>
    <w:rsid w:val="00036682"/>
    <w:rsid w:val="00036937"/>
    <w:rsid w:val="00036F13"/>
    <w:rsid w:val="00040932"/>
    <w:rsid w:val="000414D4"/>
    <w:rsid w:val="000419A9"/>
    <w:rsid w:val="0004200A"/>
    <w:rsid w:val="00042103"/>
    <w:rsid w:val="000423C2"/>
    <w:rsid w:val="00043585"/>
    <w:rsid w:val="00043706"/>
    <w:rsid w:val="000478CD"/>
    <w:rsid w:val="00047B2B"/>
    <w:rsid w:val="00050598"/>
    <w:rsid w:val="000525E6"/>
    <w:rsid w:val="000536B5"/>
    <w:rsid w:val="00054F3D"/>
    <w:rsid w:val="00055B95"/>
    <w:rsid w:val="00055DE0"/>
    <w:rsid w:val="00055DFC"/>
    <w:rsid w:val="00056970"/>
    <w:rsid w:val="00056C53"/>
    <w:rsid w:val="00057121"/>
    <w:rsid w:val="000615B9"/>
    <w:rsid w:val="0006466F"/>
    <w:rsid w:val="00064BBE"/>
    <w:rsid w:val="00065026"/>
    <w:rsid w:val="000655CD"/>
    <w:rsid w:val="00065DE1"/>
    <w:rsid w:val="00066308"/>
    <w:rsid w:val="000665A2"/>
    <w:rsid w:val="00067291"/>
    <w:rsid w:val="000674AC"/>
    <w:rsid w:val="00067966"/>
    <w:rsid w:val="00067BB0"/>
    <w:rsid w:val="000702C5"/>
    <w:rsid w:val="00071244"/>
    <w:rsid w:val="00071E20"/>
    <w:rsid w:val="000753A8"/>
    <w:rsid w:val="000754A0"/>
    <w:rsid w:val="00075A6C"/>
    <w:rsid w:val="00075B88"/>
    <w:rsid w:val="000764B5"/>
    <w:rsid w:val="00076A7B"/>
    <w:rsid w:val="0007720E"/>
    <w:rsid w:val="00082AB8"/>
    <w:rsid w:val="00082D66"/>
    <w:rsid w:val="00084029"/>
    <w:rsid w:val="00084894"/>
    <w:rsid w:val="00085EA0"/>
    <w:rsid w:val="00085F89"/>
    <w:rsid w:val="00085F91"/>
    <w:rsid w:val="0009022C"/>
    <w:rsid w:val="000903C3"/>
    <w:rsid w:val="00090EAE"/>
    <w:rsid w:val="00090EDD"/>
    <w:rsid w:val="00092BFA"/>
    <w:rsid w:val="00094693"/>
    <w:rsid w:val="00094D26"/>
    <w:rsid w:val="00094F0B"/>
    <w:rsid w:val="0009597B"/>
    <w:rsid w:val="00096435"/>
    <w:rsid w:val="00097F58"/>
    <w:rsid w:val="000A0784"/>
    <w:rsid w:val="000A1C1B"/>
    <w:rsid w:val="000A2663"/>
    <w:rsid w:val="000A2712"/>
    <w:rsid w:val="000A4211"/>
    <w:rsid w:val="000A5970"/>
    <w:rsid w:val="000A5F4C"/>
    <w:rsid w:val="000A6698"/>
    <w:rsid w:val="000B10CD"/>
    <w:rsid w:val="000B3A23"/>
    <w:rsid w:val="000B7417"/>
    <w:rsid w:val="000B7AFD"/>
    <w:rsid w:val="000C039B"/>
    <w:rsid w:val="000C0445"/>
    <w:rsid w:val="000C0B84"/>
    <w:rsid w:val="000C107D"/>
    <w:rsid w:val="000C359A"/>
    <w:rsid w:val="000C3DA7"/>
    <w:rsid w:val="000C5825"/>
    <w:rsid w:val="000C6A36"/>
    <w:rsid w:val="000D0B2C"/>
    <w:rsid w:val="000D1B57"/>
    <w:rsid w:val="000D1CEF"/>
    <w:rsid w:val="000D21E5"/>
    <w:rsid w:val="000D23F4"/>
    <w:rsid w:val="000D2DCA"/>
    <w:rsid w:val="000D2FC6"/>
    <w:rsid w:val="000D388A"/>
    <w:rsid w:val="000D3C04"/>
    <w:rsid w:val="000D3EF5"/>
    <w:rsid w:val="000D4776"/>
    <w:rsid w:val="000D4A74"/>
    <w:rsid w:val="000D5EBE"/>
    <w:rsid w:val="000E1C92"/>
    <w:rsid w:val="000E2D3D"/>
    <w:rsid w:val="000E33E6"/>
    <w:rsid w:val="000E53D5"/>
    <w:rsid w:val="000E6C47"/>
    <w:rsid w:val="000F0838"/>
    <w:rsid w:val="000F13D6"/>
    <w:rsid w:val="000F1664"/>
    <w:rsid w:val="000F1F59"/>
    <w:rsid w:val="000F2D86"/>
    <w:rsid w:val="000F40AD"/>
    <w:rsid w:val="000F431D"/>
    <w:rsid w:val="000F6FEB"/>
    <w:rsid w:val="0010139F"/>
    <w:rsid w:val="00101BDB"/>
    <w:rsid w:val="00102940"/>
    <w:rsid w:val="001030EB"/>
    <w:rsid w:val="00103ED5"/>
    <w:rsid w:val="00105119"/>
    <w:rsid w:val="00105126"/>
    <w:rsid w:val="001059BC"/>
    <w:rsid w:val="00105CDC"/>
    <w:rsid w:val="00107280"/>
    <w:rsid w:val="00107525"/>
    <w:rsid w:val="00110FA7"/>
    <w:rsid w:val="001110A5"/>
    <w:rsid w:val="0011153B"/>
    <w:rsid w:val="00111B81"/>
    <w:rsid w:val="0011328B"/>
    <w:rsid w:val="00113558"/>
    <w:rsid w:val="0011364C"/>
    <w:rsid w:val="0011433E"/>
    <w:rsid w:val="00114BAD"/>
    <w:rsid w:val="0011500A"/>
    <w:rsid w:val="001155C2"/>
    <w:rsid w:val="00115B5F"/>
    <w:rsid w:val="00116133"/>
    <w:rsid w:val="00116617"/>
    <w:rsid w:val="00121B7F"/>
    <w:rsid w:val="00121BAF"/>
    <w:rsid w:val="00121E14"/>
    <w:rsid w:val="0012564B"/>
    <w:rsid w:val="001268B9"/>
    <w:rsid w:val="00131BC4"/>
    <w:rsid w:val="00131DA6"/>
    <w:rsid w:val="00131ED8"/>
    <w:rsid w:val="00135284"/>
    <w:rsid w:val="00135854"/>
    <w:rsid w:val="00135E97"/>
    <w:rsid w:val="00136A27"/>
    <w:rsid w:val="00136FA1"/>
    <w:rsid w:val="00142819"/>
    <w:rsid w:val="0014292C"/>
    <w:rsid w:val="00142F90"/>
    <w:rsid w:val="0014474B"/>
    <w:rsid w:val="00144AF3"/>
    <w:rsid w:val="0014553D"/>
    <w:rsid w:val="001520F4"/>
    <w:rsid w:val="0015225C"/>
    <w:rsid w:val="00153F54"/>
    <w:rsid w:val="0015423B"/>
    <w:rsid w:val="001562D1"/>
    <w:rsid w:val="0015713A"/>
    <w:rsid w:val="00161DA5"/>
    <w:rsid w:val="00161EDB"/>
    <w:rsid w:val="00162C2B"/>
    <w:rsid w:val="00165058"/>
    <w:rsid w:val="001706E6"/>
    <w:rsid w:val="00170D56"/>
    <w:rsid w:val="00171703"/>
    <w:rsid w:val="00171D5E"/>
    <w:rsid w:val="00172848"/>
    <w:rsid w:val="001728DD"/>
    <w:rsid w:val="00176A6B"/>
    <w:rsid w:val="00181637"/>
    <w:rsid w:val="00182666"/>
    <w:rsid w:val="001836D3"/>
    <w:rsid w:val="00185471"/>
    <w:rsid w:val="00185D88"/>
    <w:rsid w:val="001863C4"/>
    <w:rsid w:val="00186946"/>
    <w:rsid w:val="0018791B"/>
    <w:rsid w:val="00187AB2"/>
    <w:rsid w:val="00187CD2"/>
    <w:rsid w:val="001902AC"/>
    <w:rsid w:val="00191D7C"/>
    <w:rsid w:val="00192836"/>
    <w:rsid w:val="001944A9"/>
    <w:rsid w:val="00194608"/>
    <w:rsid w:val="00194749"/>
    <w:rsid w:val="00194BEF"/>
    <w:rsid w:val="00194C72"/>
    <w:rsid w:val="00197850"/>
    <w:rsid w:val="001A0C0E"/>
    <w:rsid w:val="001A210C"/>
    <w:rsid w:val="001A2362"/>
    <w:rsid w:val="001A28E5"/>
    <w:rsid w:val="001A29DB"/>
    <w:rsid w:val="001A3E14"/>
    <w:rsid w:val="001A3E16"/>
    <w:rsid w:val="001A4F36"/>
    <w:rsid w:val="001A52A7"/>
    <w:rsid w:val="001A5810"/>
    <w:rsid w:val="001B16A5"/>
    <w:rsid w:val="001B1EAA"/>
    <w:rsid w:val="001B2E98"/>
    <w:rsid w:val="001B52F2"/>
    <w:rsid w:val="001B5C26"/>
    <w:rsid w:val="001B5EE2"/>
    <w:rsid w:val="001B61B8"/>
    <w:rsid w:val="001B6874"/>
    <w:rsid w:val="001C0568"/>
    <w:rsid w:val="001C0B57"/>
    <w:rsid w:val="001C0E14"/>
    <w:rsid w:val="001C146A"/>
    <w:rsid w:val="001C63B4"/>
    <w:rsid w:val="001C659A"/>
    <w:rsid w:val="001C775A"/>
    <w:rsid w:val="001D066E"/>
    <w:rsid w:val="001D109E"/>
    <w:rsid w:val="001D2D75"/>
    <w:rsid w:val="001D3CA3"/>
    <w:rsid w:val="001D496D"/>
    <w:rsid w:val="001D4B6B"/>
    <w:rsid w:val="001D4B9A"/>
    <w:rsid w:val="001D610B"/>
    <w:rsid w:val="001E087B"/>
    <w:rsid w:val="001E09F2"/>
    <w:rsid w:val="001E0DC5"/>
    <w:rsid w:val="001E196D"/>
    <w:rsid w:val="001E1AE0"/>
    <w:rsid w:val="001E1CD6"/>
    <w:rsid w:val="001E20C9"/>
    <w:rsid w:val="001E2569"/>
    <w:rsid w:val="001E3172"/>
    <w:rsid w:val="001E4F8F"/>
    <w:rsid w:val="001F0369"/>
    <w:rsid w:val="001F08BB"/>
    <w:rsid w:val="001F2097"/>
    <w:rsid w:val="001F2E58"/>
    <w:rsid w:val="001F3235"/>
    <w:rsid w:val="001F348F"/>
    <w:rsid w:val="001F3E67"/>
    <w:rsid w:val="001F4886"/>
    <w:rsid w:val="001F49EC"/>
    <w:rsid w:val="001F4E87"/>
    <w:rsid w:val="001F56DE"/>
    <w:rsid w:val="0020043D"/>
    <w:rsid w:val="00200599"/>
    <w:rsid w:val="00200606"/>
    <w:rsid w:val="0020227A"/>
    <w:rsid w:val="00202B36"/>
    <w:rsid w:val="0020393E"/>
    <w:rsid w:val="002041F6"/>
    <w:rsid w:val="00205557"/>
    <w:rsid w:val="00206641"/>
    <w:rsid w:val="00206AAC"/>
    <w:rsid w:val="00207E4D"/>
    <w:rsid w:val="00212BA6"/>
    <w:rsid w:val="00213093"/>
    <w:rsid w:val="00213E2E"/>
    <w:rsid w:val="00216B78"/>
    <w:rsid w:val="00216E41"/>
    <w:rsid w:val="00217706"/>
    <w:rsid w:val="002222CF"/>
    <w:rsid w:val="00223D48"/>
    <w:rsid w:val="00224C6A"/>
    <w:rsid w:val="0022514C"/>
    <w:rsid w:val="0022596F"/>
    <w:rsid w:val="00226F57"/>
    <w:rsid w:val="0023128B"/>
    <w:rsid w:val="00231509"/>
    <w:rsid w:val="0023187B"/>
    <w:rsid w:val="00233189"/>
    <w:rsid w:val="00233937"/>
    <w:rsid w:val="00235C06"/>
    <w:rsid w:val="00236729"/>
    <w:rsid w:val="00237C8B"/>
    <w:rsid w:val="0024104B"/>
    <w:rsid w:val="00241136"/>
    <w:rsid w:val="002412C0"/>
    <w:rsid w:val="00244EC5"/>
    <w:rsid w:val="002451A0"/>
    <w:rsid w:val="00245EEC"/>
    <w:rsid w:val="002460DC"/>
    <w:rsid w:val="0024721D"/>
    <w:rsid w:val="002513AB"/>
    <w:rsid w:val="00251AC1"/>
    <w:rsid w:val="00252148"/>
    <w:rsid w:val="0025259B"/>
    <w:rsid w:val="00253D0D"/>
    <w:rsid w:val="00254656"/>
    <w:rsid w:val="00255A45"/>
    <w:rsid w:val="0026067E"/>
    <w:rsid w:val="0026087B"/>
    <w:rsid w:val="00261178"/>
    <w:rsid w:val="00263057"/>
    <w:rsid w:val="00264DC4"/>
    <w:rsid w:val="0026540F"/>
    <w:rsid w:val="00265B91"/>
    <w:rsid w:val="00267016"/>
    <w:rsid w:val="00267489"/>
    <w:rsid w:val="00272F4C"/>
    <w:rsid w:val="00273148"/>
    <w:rsid w:val="00275675"/>
    <w:rsid w:val="0027649E"/>
    <w:rsid w:val="00276BD7"/>
    <w:rsid w:val="00276D78"/>
    <w:rsid w:val="00281BBF"/>
    <w:rsid w:val="002823CE"/>
    <w:rsid w:val="0028652C"/>
    <w:rsid w:val="00287427"/>
    <w:rsid w:val="002876C8"/>
    <w:rsid w:val="00291C71"/>
    <w:rsid w:val="00293F47"/>
    <w:rsid w:val="00294117"/>
    <w:rsid w:val="00294CEF"/>
    <w:rsid w:val="002A158A"/>
    <w:rsid w:val="002A31CE"/>
    <w:rsid w:val="002A3969"/>
    <w:rsid w:val="002A41D6"/>
    <w:rsid w:val="002A45FA"/>
    <w:rsid w:val="002A6390"/>
    <w:rsid w:val="002A73FC"/>
    <w:rsid w:val="002A75D3"/>
    <w:rsid w:val="002B0BEC"/>
    <w:rsid w:val="002B3FCC"/>
    <w:rsid w:val="002B707A"/>
    <w:rsid w:val="002B766E"/>
    <w:rsid w:val="002C0FCB"/>
    <w:rsid w:val="002C1FA2"/>
    <w:rsid w:val="002C2F64"/>
    <w:rsid w:val="002C3A05"/>
    <w:rsid w:val="002C49FA"/>
    <w:rsid w:val="002C52BC"/>
    <w:rsid w:val="002C5D9D"/>
    <w:rsid w:val="002C63D1"/>
    <w:rsid w:val="002C774D"/>
    <w:rsid w:val="002D2E5E"/>
    <w:rsid w:val="002D39F3"/>
    <w:rsid w:val="002D497F"/>
    <w:rsid w:val="002D4BF6"/>
    <w:rsid w:val="002D7C79"/>
    <w:rsid w:val="002E097A"/>
    <w:rsid w:val="002E0D2D"/>
    <w:rsid w:val="002E38DB"/>
    <w:rsid w:val="002E3BB0"/>
    <w:rsid w:val="002E4CB2"/>
    <w:rsid w:val="002E4CD4"/>
    <w:rsid w:val="002E4F0D"/>
    <w:rsid w:val="002E577F"/>
    <w:rsid w:val="002E5C70"/>
    <w:rsid w:val="002E5FCE"/>
    <w:rsid w:val="002E5FD6"/>
    <w:rsid w:val="002E684C"/>
    <w:rsid w:val="002E719D"/>
    <w:rsid w:val="002E7713"/>
    <w:rsid w:val="002F321A"/>
    <w:rsid w:val="002F3B5B"/>
    <w:rsid w:val="002F438C"/>
    <w:rsid w:val="002F5F78"/>
    <w:rsid w:val="002F60C1"/>
    <w:rsid w:val="002F6E3A"/>
    <w:rsid w:val="002F7363"/>
    <w:rsid w:val="002F7E21"/>
    <w:rsid w:val="00300CFB"/>
    <w:rsid w:val="003013EC"/>
    <w:rsid w:val="00302C7A"/>
    <w:rsid w:val="00302CC0"/>
    <w:rsid w:val="0030300E"/>
    <w:rsid w:val="003046D5"/>
    <w:rsid w:val="0030528E"/>
    <w:rsid w:val="00305B97"/>
    <w:rsid w:val="00305CC0"/>
    <w:rsid w:val="0030692D"/>
    <w:rsid w:val="00306B9B"/>
    <w:rsid w:val="0030758B"/>
    <w:rsid w:val="00307CFC"/>
    <w:rsid w:val="00310A76"/>
    <w:rsid w:val="00310C9A"/>
    <w:rsid w:val="003116BF"/>
    <w:rsid w:val="0031197C"/>
    <w:rsid w:val="00311BFB"/>
    <w:rsid w:val="0031317F"/>
    <w:rsid w:val="0031367D"/>
    <w:rsid w:val="00314030"/>
    <w:rsid w:val="00314BE5"/>
    <w:rsid w:val="00315D4C"/>
    <w:rsid w:val="00317D8B"/>
    <w:rsid w:val="0032021E"/>
    <w:rsid w:val="003205F6"/>
    <w:rsid w:val="00320DB1"/>
    <w:rsid w:val="0032209A"/>
    <w:rsid w:val="00322155"/>
    <w:rsid w:val="0032264E"/>
    <w:rsid w:val="00324264"/>
    <w:rsid w:val="0032455D"/>
    <w:rsid w:val="00326AE2"/>
    <w:rsid w:val="003274F0"/>
    <w:rsid w:val="003313E3"/>
    <w:rsid w:val="0033285C"/>
    <w:rsid w:val="0033384E"/>
    <w:rsid w:val="00334878"/>
    <w:rsid w:val="0033497F"/>
    <w:rsid w:val="00334E4F"/>
    <w:rsid w:val="003350C1"/>
    <w:rsid w:val="00335164"/>
    <w:rsid w:val="003351BE"/>
    <w:rsid w:val="003363A4"/>
    <w:rsid w:val="003368BC"/>
    <w:rsid w:val="00340247"/>
    <w:rsid w:val="00340970"/>
    <w:rsid w:val="003419F0"/>
    <w:rsid w:val="00342F4E"/>
    <w:rsid w:val="003459B8"/>
    <w:rsid w:val="00346882"/>
    <w:rsid w:val="00346E18"/>
    <w:rsid w:val="00350710"/>
    <w:rsid w:val="003517FB"/>
    <w:rsid w:val="003526E4"/>
    <w:rsid w:val="00355C44"/>
    <w:rsid w:val="00355D95"/>
    <w:rsid w:val="00357FAD"/>
    <w:rsid w:val="00361154"/>
    <w:rsid w:val="00361AD8"/>
    <w:rsid w:val="00361D62"/>
    <w:rsid w:val="00362B7D"/>
    <w:rsid w:val="0036331B"/>
    <w:rsid w:val="003648C7"/>
    <w:rsid w:val="0036559F"/>
    <w:rsid w:val="0036604B"/>
    <w:rsid w:val="00370A6E"/>
    <w:rsid w:val="00371A0B"/>
    <w:rsid w:val="003724AF"/>
    <w:rsid w:val="00373B1B"/>
    <w:rsid w:val="00373BB2"/>
    <w:rsid w:val="003747ED"/>
    <w:rsid w:val="00377DB3"/>
    <w:rsid w:val="00380278"/>
    <w:rsid w:val="00382654"/>
    <w:rsid w:val="00384288"/>
    <w:rsid w:val="003845F3"/>
    <w:rsid w:val="003859F2"/>
    <w:rsid w:val="00385E66"/>
    <w:rsid w:val="0038615F"/>
    <w:rsid w:val="0038638B"/>
    <w:rsid w:val="003905B4"/>
    <w:rsid w:val="0039200C"/>
    <w:rsid w:val="00394F91"/>
    <w:rsid w:val="00395BAE"/>
    <w:rsid w:val="00395DEF"/>
    <w:rsid w:val="00397455"/>
    <w:rsid w:val="00397DA1"/>
    <w:rsid w:val="003A2A61"/>
    <w:rsid w:val="003A2C87"/>
    <w:rsid w:val="003A51CE"/>
    <w:rsid w:val="003A757B"/>
    <w:rsid w:val="003A7AEF"/>
    <w:rsid w:val="003B1005"/>
    <w:rsid w:val="003B24B0"/>
    <w:rsid w:val="003B288C"/>
    <w:rsid w:val="003B30EC"/>
    <w:rsid w:val="003B514E"/>
    <w:rsid w:val="003B6519"/>
    <w:rsid w:val="003B6CC3"/>
    <w:rsid w:val="003C0553"/>
    <w:rsid w:val="003C05CD"/>
    <w:rsid w:val="003C0E72"/>
    <w:rsid w:val="003C158D"/>
    <w:rsid w:val="003C15C5"/>
    <w:rsid w:val="003C16E7"/>
    <w:rsid w:val="003C1FE2"/>
    <w:rsid w:val="003C2126"/>
    <w:rsid w:val="003C36E2"/>
    <w:rsid w:val="003C41AB"/>
    <w:rsid w:val="003C5026"/>
    <w:rsid w:val="003C6203"/>
    <w:rsid w:val="003D0C77"/>
    <w:rsid w:val="003D29E1"/>
    <w:rsid w:val="003D442A"/>
    <w:rsid w:val="003D4440"/>
    <w:rsid w:val="003D45FF"/>
    <w:rsid w:val="003D50D1"/>
    <w:rsid w:val="003D56DF"/>
    <w:rsid w:val="003D5B23"/>
    <w:rsid w:val="003D73B3"/>
    <w:rsid w:val="003D7786"/>
    <w:rsid w:val="003E0109"/>
    <w:rsid w:val="003E09BB"/>
    <w:rsid w:val="003E1F54"/>
    <w:rsid w:val="003E325E"/>
    <w:rsid w:val="003E37FF"/>
    <w:rsid w:val="003E4A05"/>
    <w:rsid w:val="003E538B"/>
    <w:rsid w:val="003E616D"/>
    <w:rsid w:val="003E63CB"/>
    <w:rsid w:val="003E69D8"/>
    <w:rsid w:val="003E7272"/>
    <w:rsid w:val="003E73BB"/>
    <w:rsid w:val="003E75E5"/>
    <w:rsid w:val="003E7EF7"/>
    <w:rsid w:val="003F0505"/>
    <w:rsid w:val="003F0D8B"/>
    <w:rsid w:val="003F13C3"/>
    <w:rsid w:val="003F4B03"/>
    <w:rsid w:val="003F7C16"/>
    <w:rsid w:val="00401D51"/>
    <w:rsid w:val="00401DA7"/>
    <w:rsid w:val="004027C9"/>
    <w:rsid w:val="004069F1"/>
    <w:rsid w:val="00407DDF"/>
    <w:rsid w:val="00410588"/>
    <w:rsid w:val="00413ACC"/>
    <w:rsid w:val="00414BCB"/>
    <w:rsid w:val="00414C4D"/>
    <w:rsid w:val="0041546E"/>
    <w:rsid w:val="00420601"/>
    <w:rsid w:val="004219CD"/>
    <w:rsid w:val="00423740"/>
    <w:rsid w:val="00423E33"/>
    <w:rsid w:val="00424AE3"/>
    <w:rsid w:val="00425DCC"/>
    <w:rsid w:val="0042798E"/>
    <w:rsid w:val="004314D0"/>
    <w:rsid w:val="00432057"/>
    <w:rsid w:val="0043239C"/>
    <w:rsid w:val="0043288B"/>
    <w:rsid w:val="004335D7"/>
    <w:rsid w:val="00433B6D"/>
    <w:rsid w:val="0044102F"/>
    <w:rsid w:val="0044222A"/>
    <w:rsid w:val="0044259E"/>
    <w:rsid w:val="00444D5D"/>
    <w:rsid w:val="00446D87"/>
    <w:rsid w:val="00450992"/>
    <w:rsid w:val="00454793"/>
    <w:rsid w:val="00457FE4"/>
    <w:rsid w:val="00460F24"/>
    <w:rsid w:val="00461236"/>
    <w:rsid w:val="004618C7"/>
    <w:rsid w:val="0046479E"/>
    <w:rsid w:val="00465CE3"/>
    <w:rsid w:val="0047087F"/>
    <w:rsid w:val="00472653"/>
    <w:rsid w:val="004734A0"/>
    <w:rsid w:val="004749EA"/>
    <w:rsid w:val="00474FA6"/>
    <w:rsid w:val="004756BB"/>
    <w:rsid w:val="00476892"/>
    <w:rsid w:val="00476C9C"/>
    <w:rsid w:val="00480150"/>
    <w:rsid w:val="004808EE"/>
    <w:rsid w:val="004822A3"/>
    <w:rsid w:val="004823A3"/>
    <w:rsid w:val="004838BA"/>
    <w:rsid w:val="00484435"/>
    <w:rsid w:val="0048461A"/>
    <w:rsid w:val="00486667"/>
    <w:rsid w:val="004870DE"/>
    <w:rsid w:val="004875E5"/>
    <w:rsid w:val="00487907"/>
    <w:rsid w:val="00490371"/>
    <w:rsid w:val="004918D0"/>
    <w:rsid w:val="00491D89"/>
    <w:rsid w:val="00492114"/>
    <w:rsid w:val="00492A20"/>
    <w:rsid w:val="00493940"/>
    <w:rsid w:val="00497127"/>
    <w:rsid w:val="0049755C"/>
    <w:rsid w:val="004A0911"/>
    <w:rsid w:val="004A785C"/>
    <w:rsid w:val="004B06D5"/>
    <w:rsid w:val="004B20D0"/>
    <w:rsid w:val="004B24F6"/>
    <w:rsid w:val="004B346B"/>
    <w:rsid w:val="004B46EC"/>
    <w:rsid w:val="004B56F1"/>
    <w:rsid w:val="004B58E7"/>
    <w:rsid w:val="004B62A8"/>
    <w:rsid w:val="004B67D3"/>
    <w:rsid w:val="004B68B7"/>
    <w:rsid w:val="004C0355"/>
    <w:rsid w:val="004C0592"/>
    <w:rsid w:val="004C15E6"/>
    <w:rsid w:val="004C22B5"/>
    <w:rsid w:val="004C22F9"/>
    <w:rsid w:val="004C3B30"/>
    <w:rsid w:val="004C4816"/>
    <w:rsid w:val="004C546E"/>
    <w:rsid w:val="004C698B"/>
    <w:rsid w:val="004C6EE4"/>
    <w:rsid w:val="004C6FBA"/>
    <w:rsid w:val="004D2276"/>
    <w:rsid w:val="004D33ED"/>
    <w:rsid w:val="004D57E8"/>
    <w:rsid w:val="004D5BC9"/>
    <w:rsid w:val="004D6C58"/>
    <w:rsid w:val="004D7350"/>
    <w:rsid w:val="004E34E5"/>
    <w:rsid w:val="004E37D7"/>
    <w:rsid w:val="004E4AAE"/>
    <w:rsid w:val="004E58DD"/>
    <w:rsid w:val="004E604B"/>
    <w:rsid w:val="004E6B0E"/>
    <w:rsid w:val="004E6F06"/>
    <w:rsid w:val="004F09E5"/>
    <w:rsid w:val="004F1B5C"/>
    <w:rsid w:val="004F3D8E"/>
    <w:rsid w:val="004F4633"/>
    <w:rsid w:val="004F4C81"/>
    <w:rsid w:val="004F60EB"/>
    <w:rsid w:val="004F6915"/>
    <w:rsid w:val="004F6F43"/>
    <w:rsid w:val="005005F9"/>
    <w:rsid w:val="005015E0"/>
    <w:rsid w:val="00501909"/>
    <w:rsid w:val="005035F0"/>
    <w:rsid w:val="00503782"/>
    <w:rsid w:val="0050649B"/>
    <w:rsid w:val="00506660"/>
    <w:rsid w:val="00506B4C"/>
    <w:rsid w:val="0051100C"/>
    <w:rsid w:val="00511D05"/>
    <w:rsid w:val="00512658"/>
    <w:rsid w:val="00512BAF"/>
    <w:rsid w:val="00514B43"/>
    <w:rsid w:val="00515A86"/>
    <w:rsid w:val="0051665E"/>
    <w:rsid w:val="0051754F"/>
    <w:rsid w:val="00517BA2"/>
    <w:rsid w:val="005215E4"/>
    <w:rsid w:val="005222B6"/>
    <w:rsid w:val="00524F0A"/>
    <w:rsid w:val="005252CE"/>
    <w:rsid w:val="005256DD"/>
    <w:rsid w:val="00525FD6"/>
    <w:rsid w:val="00526D21"/>
    <w:rsid w:val="00527D46"/>
    <w:rsid w:val="00530F92"/>
    <w:rsid w:val="0053121C"/>
    <w:rsid w:val="005328DD"/>
    <w:rsid w:val="00533156"/>
    <w:rsid w:val="005333A8"/>
    <w:rsid w:val="00537AEA"/>
    <w:rsid w:val="005412D1"/>
    <w:rsid w:val="005429AA"/>
    <w:rsid w:val="00543274"/>
    <w:rsid w:val="00543CB7"/>
    <w:rsid w:val="0054428C"/>
    <w:rsid w:val="005444EA"/>
    <w:rsid w:val="0054488E"/>
    <w:rsid w:val="00544EBC"/>
    <w:rsid w:val="00545155"/>
    <w:rsid w:val="00545CD6"/>
    <w:rsid w:val="0054655F"/>
    <w:rsid w:val="00546821"/>
    <w:rsid w:val="005501B1"/>
    <w:rsid w:val="0055051B"/>
    <w:rsid w:val="0055098D"/>
    <w:rsid w:val="00551E35"/>
    <w:rsid w:val="00551E85"/>
    <w:rsid w:val="005535C1"/>
    <w:rsid w:val="00556066"/>
    <w:rsid w:val="00560FF6"/>
    <w:rsid w:val="0056404C"/>
    <w:rsid w:val="005653D5"/>
    <w:rsid w:val="0056566A"/>
    <w:rsid w:val="0056661F"/>
    <w:rsid w:val="005705E4"/>
    <w:rsid w:val="00570BCE"/>
    <w:rsid w:val="00574947"/>
    <w:rsid w:val="00577B11"/>
    <w:rsid w:val="00580697"/>
    <w:rsid w:val="00581129"/>
    <w:rsid w:val="005816A1"/>
    <w:rsid w:val="0058425B"/>
    <w:rsid w:val="00584B88"/>
    <w:rsid w:val="0058639A"/>
    <w:rsid w:val="005864E5"/>
    <w:rsid w:val="005865E2"/>
    <w:rsid w:val="00586618"/>
    <w:rsid w:val="00586C3D"/>
    <w:rsid w:val="00586FD0"/>
    <w:rsid w:val="005914BB"/>
    <w:rsid w:val="00591518"/>
    <w:rsid w:val="00593240"/>
    <w:rsid w:val="00595759"/>
    <w:rsid w:val="00595C53"/>
    <w:rsid w:val="005978B6"/>
    <w:rsid w:val="00597FF6"/>
    <w:rsid w:val="005A08DC"/>
    <w:rsid w:val="005A1B1C"/>
    <w:rsid w:val="005A2A3E"/>
    <w:rsid w:val="005A339F"/>
    <w:rsid w:val="005A5004"/>
    <w:rsid w:val="005A5AD5"/>
    <w:rsid w:val="005B0B53"/>
    <w:rsid w:val="005B2008"/>
    <w:rsid w:val="005B24FF"/>
    <w:rsid w:val="005B2DDE"/>
    <w:rsid w:val="005B3F8A"/>
    <w:rsid w:val="005B4EEE"/>
    <w:rsid w:val="005B5CB3"/>
    <w:rsid w:val="005B670B"/>
    <w:rsid w:val="005B7071"/>
    <w:rsid w:val="005B75D1"/>
    <w:rsid w:val="005C0D06"/>
    <w:rsid w:val="005C1286"/>
    <w:rsid w:val="005C2ECF"/>
    <w:rsid w:val="005C478B"/>
    <w:rsid w:val="005C4BBA"/>
    <w:rsid w:val="005C5A4A"/>
    <w:rsid w:val="005C6787"/>
    <w:rsid w:val="005D07A5"/>
    <w:rsid w:val="005D0CD5"/>
    <w:rsid w:val="005D1323"/>
    <w:rsid w:val="005D26D5"/>
    <w:rsid w:val="005D3389"/>
    <w:rsid w:val="005D3616"/>
    <w:rsid w:val="005D3AB3"/>
    <w:rsid w:val="005D3DFB"/>
    <w:rsid w:val="005D4913"/>
    <w:rsid w:val="005D5E2C"/>
    <w:rsid w:val="005D5ED5"/>
    <w:rsid w:val="005D6DAA"/>
    <w:rsid w:val="005D7379"/>
    <w:rsid w:val="005D7470"/>
    <w:rsid w:val="005D7483"/>
    <w:rsid w:val="005E4DDB"/>
    <w:rsid w:val="005E5E4F"/>
    <w:rsid w:val="005E6956"/>
    <w:rsid w:val="005E7403"/>
    <w:rsid w:val="005E7504"/>
    <w:rsid w:val="005E7509"/>
    <w:rsid w:val="005E7FDA"/>
    <w:rsid w:val="005F08EF"/>
    <w:rsid w:val="005F12B8"/>
    <w:rsid w:val="005F1CFC"/>
    <w:rsid w:val="005F211A"/>
    <w:rsid w:val="005F23B5"/>
    <w:rsid w:val="005F668C"/>
    <w:rsid w:val="0060088D"/>
    <w:rsid w:val="00601789"/>
    <w:rsid w:val="0060181F"/>
    <w:rsid w:val="006022E9"/>
    <w:rsid w:val="00602E24"/>
    <w:rsid w:val="00603652"/>
    <w:rsid w:val="00603824"/>
    <w:rsid w:val="00604D76"/>
    <w:rsid w:val="00606643"/>
    <w:rsid w:val="00612430"/>
    <w:rsid w:val="00612B60"/>
    <w:rsid w:val="0061332D"/>
    <w:rsid w:val="00613825"/>
    <w:rsid w:val="006141BA"/>
    <w:rsid w:val="006156B7"/>
    <w:rsid w:val="0061718A"/>
    <w:rsid w:val="00621A0F"/>
    <w:rsid w:val="00621FED"/>
    <w:rsid w:val="00622058"/>
    <w:rsid w:val="006225F7"/>
    <w:rsid w:val="00623C3C"/>
    <w:rsid w:val="00624472"/>
    <w:rsid w:val="00624C27"/>
    <w:rsid w:val="00624EE8"/>
    <w:rsid w:val="00630290"/>
    <w:rsid w:val="0063088C"/>
    <w:rsid w:val="0063107F"/>
    <w:rsid w:val="00631DE6"/>
    <w:rsid w:val="006333B5"/>
    <w:rsid w:val="00633DD3"/>
    <w:rsid w:val="0063418F"/>
    <w:rsid w:val="00635AE8"/>
    <w:rsid w:val="006369D4"/>
    <w:rsid w:val="00637CB5"/>
    <w:rsid w:val="00640C13"/>
    <w:rsid w:val="006418B1"/>
    <w:rsid w:val="006421D3"/>
    <w:rsid w:val="006424A4"/>
    <w:rsid w:val="00642995"/>
    <w:rsid w:val="006429C7"/>
    <w:rsid w:val="00642CD3"/>
    <w:rsid w:val="00643B49"/>
    <w:rsid w:val="006445D4"/>
    <w:rsid w:val="00644777"/>
    <w:rsid w:val="0064477D"/>
    <w:rsid w:val="006448F6"/>
    <w:rsid w:val="00645007"/>
    <w:rsid w:val="00645C47"/>
    <w:rsid w:val="006462B1"/>
    <w:rsid w:val="00646FA3"/>
    <w:rsid w:val="006470C0"/>
    <w:rsid w:val="00650B10"/>
    <w:rsid w:val="00650E8F"/>
    <w:rsid w:val="006518C3"/>
    <w:rsid w:val="006529D7"/>
    <w:rsid w:val="00656D3E"/>
    <w:rsid w:val="00657267"/>
    <w:rsid w:val="00657990"/>
    <w:rsid w:val="00657F98"/>
    <w:rsid w:val="00661CF9"/>
    <w:rsid w:val="00661EE3"/>
    <w:rsid w:val="006648D5"/>
    <w:rsid w:val="006649BD"/>
    <w:rsid w:val="00670960"/>
    <w:rsid w:val="006720A5"/>
    <w:rsid w:val="0067433D"/>
    <w:rsid w:val="00674524"/>
    <w:rsid w:val="0067483A"/>
    <w:rsid w:val="00675991"/>
    <w:rsid w:val="006765E0"/>
    <w:rsid w:val="0067670E"/>
    <w:rsid w:val="00677B31"/>
    <w:rsid w:val="006801E0"/>
    <w:rsid w:val="00680606"/>
    <w:rsid w:val="00680C8F"/>
    <w:rsid w:val="00681DF6"/>
    <w:rsid w:val="00684ACE"/>
    <w:rsid w:val="00684B04"/>
    <w:rsid w:val="00686171"/>
    <w:rsid w:val="00686B34"/>
    <w:rsid w:val="006870B2"/>
    <w:rsid w:val="0068749D"/>
    <w:rsid w:val="00690B5E"/>
    <w:rsid w:val="00691E76"/>
    <w:rsid w:val="00692EEF"/>
    <w:rsid w:val="00693F45"/>
    <w:rsid w:val="0069582E"/>
    <w:rsid w:val="0069606F"/>
    <w:rsid w:val="00696786"/>
    <w:rsid w:val="00697849"/>
    <w:rsid w:val="006A0052"/>
    <w:rsid w:val="006A0498"/>
    <w:rsid w:val="006A0DFE"/>
    <w:rsid w:val="006A1430"/>
    <w:rsid w:val="006A262D"/>
    <w:rsid w:val="006A2E08"/>
    <w:rsid w:val="006A31A6"/>
    <w:rsid w:val="006A438E"/>
    <w:rsid w:val="006A4FE6"/>
    <w:rsid w:val="006A6264"/>
    <w:rsid w:val="006A7ADB"/>
    <w:rsid w:val="006B16A0"/>
    <w:rsid w:val="006B180D"/>
    <w:rsid w:val="006B218F"/>
    <w:rsid w:val="006B2CF9"/>
    <w:rsid w:val="006B33D7"/>
    <w:rsid w:val="006B3A51"/>
    <w:rsid w:val="006B5FAE"/>
    <w:rsid w:val="006B636C"/>
    <w:rsid w:val="006B6D7C"/>
    <w:rsid w:val="006B76D1"/>
    <w:rsid w:val="006B7EE4"/>
    <w:rsid w:val="006C1EA9"/>
    <w:rsid w:val="006C28F3"/>
    <w:rsid w:val="006C47CA"/>
    <w:rsid w:val="006C4C76"/>
    <w:rsid w:val="006C552C"/>
    <w:rsid w:val="006C73DA"/>
    <w:rsid w:val="006C7A60"/>
    <w:rsid w:val="006D3A17"/>
    <w:rsid w:val="006D3AE4"/>
    <w:rsid w:val="006D40F6"/>
    <w:rsid w:val="006D4365"/>
    <w:rsid w:val="006D4E3B"/>
    <w:rsid w:val="006D508C"/>
    <w:rsid w:val="006D6498"/>
    <w:rsid w:val="006D6A0D"/>
    <w:rsid w:val="006D70E7"/>
    <w:rsid w:val="006D7A08"/>
    <w:rsid w:val="006E0206"/>
    <w:rsid w:val="006E03A1"/>
    <w:rsid w:val="006E04D5"/>
    <w:rsid w:val="006E1314"/>
    <w:rsid w:val="006E2DE6"/>
    <w:rsid w:val="006E2E7D"/>
    <w:rsid w:val="006E31B4"/>
    <w:rsid w:val="006E7318"/>
    <w:rsid w:val="006E73B2"/>
    <w:rsid w:val="006E73C9"/>
    <w:rsid w:val="006E780C"/>
    <w:rsid w:val="006F20CF"/>
    <w:rsid w:val="006F513C"/>
    <w:rsid w:val="006F6DB3"/>
    <w:rsid w:val="006F7564"/>
    <w:rsid w:val="006F7EB1"/>
    <w:rsid w:val="00700188"/>
    <w:rsid w:val="00700D2A"/>
    <w:rsid w:val="0070256A"/>
    <w:rsid w:val="00703AA2"/>
    <w:rsid w:val="007055D7"/>
    <w:rsid w:val="00705634"/>
    <w:rsid w:val="007063E6"/>
    <w:rsid w:val="007075C9"/>
    <w:rsid w:val="0071039C"/>
    <w:rsid w:val="00714103"/>
    <w:rsid w:val="007149A2"/>
    <w:rsid w:val="007150E0"/>
    <w:rsid w:val="00715191"/>
    <w:rsid w:val="0072054E"/>
    <w:rsid w:val="0072137E"/>
    <w:rsid w:val="00721CAB"/>
    <w:rsid w:val="00722FD5"/>
    <w:rsid w:val="00723334"/>
    <w:rsid w:val="00724A8A"/>
    <w:rsid w:val="007251CB"/>
    <w:rsid w:val="00725348"/>
    <w:rsid w:val="00726B6D"/>
    <w:rsid w:val="0072768A"/>
    <w:rsid w:val="00731301"/>
    <w:rsid w:val="00731A2F"/>
    <w:rsid w:val="00732207"/>
    <w:rsid w:val="00734858"/>
    <w:rsid w:val="00734D37"/>
    <w:rsid w:val="0073653B"/>
    <w:rsid w:val="007377E0"/>
    <w:rsid w:val="007407BB"/>
    <w:rsid w:val="007409D4"/>
    <w:rsid w:val="007427DF"/>
    <w:rsid w:val="00744529"/>
    <w:rsid w:val="00744AB4"/>
    <w:rsid w:val="00745BBA"/>
    <w:rsid w:val="00746EE8"/>
    <w:rsid w:val="00747ADE"/>
    <w:rsid w:val="007506B3"/>
    <w:rsid w:val="007543D7"/>
    <w:rsid w:val="00757EC3"/>
    <w:rsid w:val="007611C7"/>
    <w:rsid w:val="007651CF"/>
    <w:rsid w:val="007664EF"/>
    <w:rsid w:val="00767B7F"/>
    <w:rsid w:val="007702D4"/>
    <w:rsid w:val="00770911"/>
    <w:rsid w:val="007714EB"/>
    <w:rsid w:val="0077217C"/>
    <w:rsid w:val="007736C1"/>
    <w:rsid w:val="00774536"/>
    <w:rsid w:val="00776B59"/>
    <w:rsid w:val="00781078"/>
    <w:rsid w:val="00781932"/>
    <w:rsid w:val="00782582"/>
    <w:rsid w:val="0078414B"/>
    <w:rsid w:val="0078417E"/>
    <w:rsid w:val="007855C9"/>
    <w:rsid w:val="00785FDB"/>
    <w:rsid w:val="00790A19"/>
    <w:rsid w:val="00790DCE"/>
    <w:rsid w:val="00792837"/>
    <w:rsid w:val="00792BD5"/>
    <w:rsid w:val="007932E9"/>
    <w:rsid w:val="00793C0E"/>
    <w:rsid w:val="0079620A"/>
    <w:rsid w:val="00797198"/>
    <w:rsid w:val="00797A60"/>
    <w:rsid w:val="007A0E66"/>
    <w:rsid w:val="007A3572"/>
    <w:rsid w:val="007A50F3"/>
    <w:rsid w:val="007A54DD"/>
    <w:rsid w:val="007B484E"/>
    <w:rsid w:val="007B6027"/>
    <w:rsid w:val="007B6731"/>
    <w:rsid w:val="007B6CD5"/>
    <w:rsid w:val="007B6FE4"/>
    <w:rsid w:val="007C102E"/>
    <w:rsid w:val="007C237B"/>
    <w:rsid w:val="007C2502"/>
    <w:rsid w:val="007C39B6"/>
    <w:rsid w:val="007C5FA6"/>
    <w:rsid w:val="007D1B88"/>
    <w:rsid w:val="007D216E"/>
    <w:rsid w:val="007D253E"/>
    <w:rsid w:val="007D2A19"/>
    <w:rsid w:val="007D3502"/>
    <w:rsid w:val="007D476D"/>
    <w:rsid w:val="007D4DF3"/>
    <w:rsid w:val="007D5102"/>
    <w:rsid w:val="007D51E1"/>
    <w:rsid w:val="007D69E9"/>
    <w:rsid w:val="007D7E92"/>
    <w:rsid w:val="007E1B3D"/>
    <w:rsid w:val="007E26EB"/>
    <w:rsid w:val="007E5536"/>
    <w:rsid w:val="007E5ABE"/>
    <w:rsid w:val="007E750B"/>
    <w:rsid w:val="007F0EB3"/>
    <w:rsid w:val="007F1462"/>
    <w:rsid w:val="007F204C"/>
    <w:rsid w:val="007F22F1"/>
    <w:rsid w:val="007F2454"/>
    <w:rsid w:val="007F2619"/>
    <w:rsid w:val="007F27F0"/>
    <w:rsid w:val="007F2AA8"/>
    <w:rsid w:val="007F45B2"/>
    <w:rsid w:val="008035AD"/>
    <w:rsid w:val="00803D56"/>
    <w:rsid w:val="00804343"/>
    <w:rsid w:val="0080657A"/>
    <w:rsid w:val="00806B55"/>
    <w:rsid w:val="00806FC3"/>
    <w:rsid w:val="00807C73"/>
    <w:rsid w:val="00810462"/>
    <w:rsid w:val="00810924"/>
    <w:rsid w:val="00811656"/>
    <w:rsid w:val="00813D84"/>
    <w:rsid w:val="00813DCC"/>
    <w:rsid w:val="0081598F"/>
    <w:rsid w:val="00815A26"/>
    <w:rsid w:val="00816173"/>
    <w:rsid w:val="00816EAF"/>
    <w:rsid w:val="00820CE3"/>
    <w:rsid w:val="00821C4A"/>
    <w:rsid w:val="00822288"/>
    <w:rsid w:val="00822B4F"/>
    <w:rsid w:val="00822D63"/>
    <w:rsid w:val="00823B48"/>
    <w:rsid w:val="008246CA"/>
    <w:rsid w:val="00824DDD"/>
    <w:rsid w:val="008267D2"/>
    <w:rsid w:val="00826F57"/>
    <w:rsid w:val="0082759B"/>
    <w:rsid w:val="0083006F"/>
    <w:rsid w:val="0083306F"/>
    <w:rsid w:val="008333BC"/>
    <w:rsid w:val="008336F5"/>
    <w:rsid w:val="00833F93"/>
    <w:rsid w:val="00834AFD"/>
    <w:rsid w:val="0083623C"/>
    <w:rsid w:val="00836655"/>
    <w:rsid w:val="00836F11"/>
    <w:rsid w:val="0083728A"/>
    <w:rsid w:val="00837E6E"/>
    <w:rsid w:val="00840769"/>
    <w:rsid w:val="008414E5"/>
    <w:rsid w:val="00841E82"/>
    <w:rsid w:val="00842BCE"/>
    <w:rsid w:val="008436B8"/>
    <w:rsid w:val="008439A6"/>
    <w:rsid w:val="00844CFB"/>
    <w:rsid w:val="008452B0"/>
    <w:rsid w:val="00845764"/>
    <w:rsid w:val="00845C3F"/>
    <w:rsid w:val="008467C2"/>
    <w:rsid w:val="0085102C"/>
    <w:rsid w:val="008537EA"/>
    <w:rsid w:val="0085458B"/>
    <w:rsid w:val="00854E81"/>
    <w:rsid w:val="00856485"/>
    <w:rsid w:val="008569CD"/>
    <w:rsid w:val="00860DA2"/>
    <w:rsid w:val="00862D95"/>
    <w:rsid w:val="00863C9F"/>
    <w:rsid w:val="00863FA2"/>
    <w:rsid w:val="00865D50"/>
    <w:rsid w:val="00866360"/>
    <w:rsid w:val="008673D1"/>
    <w:rsid w:val="00870E75"/>
    <w:rsid w:val="00870EAF"/>
    <w:rsid w:val="00872015"/>
    <w:rsid w:val="008720D9"/>
    <w:rsid w:val="00872754"/>
    <w:rsid w:val="00874D8E"/>
    <w:rsid w:val="008758DF"/>
    <w:rsid w:val="00876AC7"/>
    <w:rsid w:val="00877263"/>
    <w:rsid w:val="00882D2A"/>
    <w:rsid w:val="00884139"/>
    <w:rsid w:val="00884357"/>
    <w:rsid w:val="00884B0E"/>
    <w:rsid w:val="00884CC9"/>
    <w:rsid w:val="0088502A"/>
    <w:rsid w:val="0088599E"/>
    <w:rsid w:val="00886E21"/>
    <w:rsid w:val="00887B1A"/>
    <w:rsid w:val="00887FD1"/>
    <w:rsid w:val="00891365"/>
    <w:rsid w:val="008915EF"/>
    <w:rsid w:val="0089305B"/>
    <w:rsid w:val="00893516"/>
    <w:rsid w:val="0089483A"/>
    <w:rsid w:val="008A1385"/>
    <w:rsid w:val="008A1A5E"/>
    <w:rsid w:val="008A32C8"/>
    <w:rsid w:val="008A43D3"/>
    <w:rsid w:val="008A5942"/>
    <w:rsid w:val="008A737F"/>
    <w:rsid w:val="008B16AA"/>
    <w:rsid w:val="008B1B60"/>
    <w:rsid w:val="008B266E"/>
    <w:rsid w:val="008B2EA0"/>
    <w:rsid w:val="008B3B35"/>
    <w:rsid w:val="008B604B"/>
    <w:rsid w:val="008C033D"/>
    <w:rsid w:val="008C0E62"/>
    <w:rsid w:val="008C182B"/>
    <w:rsid w:val="008C18C4"/>
    <w:rsid w:val="008C1C3E"/>
    <w:rsid w:val="008C308B"/>
    <w:rsid w:val="008C402A"/>
    <w:rsid w:val="008C4C64"/>
    <w:rsid w:val="008C551C"/>
    <w:rsid w:val="008C6D4E"/>
    <w:rsid w:val="008C727D"/>
    <w:rsid w:val="008D2D41"/>
    <w:rsid w:val="008D3679"/>
    <w:rsid w:val="008D4B4B"/>
    <w:rsid w:val="008D4E26"/>
    <w:rsid w:val="008E20B9"/>
    <w:rsid w:val="008E2572"/>
    <w:rsid w:val="008E2B1B"/>
    <w:rsid w:val="008E3A79"/>
    <w:rsid w:val="008E3C41"/>
    <w:rsid w:val="008E3D2E"/>
    <w:rsid w:val="008E40ED"/>
    <w:rsid w:val="008E6E11"/>
    <w:rsid w:val="008E7FD9"/>
    <w:rsid w:val="008F08CC"/>
    <w:rsid w:val="008F1E56"/>
    <w:rsid w:val="008F1FC6"/>
    <w:rsid w:val="008F2445"/>
    <w:rsid w:val="008F2911"/>
    <w:rsid w:val="008F6067"/>
    <w:rsid w:val="00900069"/>
    <w:rsid w:val="009006A6"/>
    <w:rsid w:val="00900C0E"/>
    <w:rsid w:val="00902259"/>
    <w:rsid w:val="009035EB"/>
    <w:rsid w:val="0090363B"/>
    <w:rsid w:val="00904DF5"/>
    <w:rsid w:val="00905C14"/>
    <w:rsid w:val="00906FFF"/>
    <w:rsid w:val="00910D92"/>
    <w:rsid w:val="009113C0"/>
    <w:rsid w:val="0091242C"/>
    <w:rsid w:val="009134BE"/>
    <w:rsid w:val="009146C1"/>
    <w:rsid w:val="00915C3C"/>
    <w:rsid w:val="0091761E"/>
    <w:rsid w:val="00920A52"/>
    <w:rsid w:val="009223A3"/>
    <w:rsid w:val="00922AD2"/>
    <w:rsid w:val="00923FFB"/>
    <w:rsid w:val="009252FB"/>
    <w:rsid w:val="0092647B"/>
    <w:rsid w:val="00933693"/>
    <w:rsid w:val="00933BA4"/>
    <w:rsid w:val="00934891"/>
    <w:rsid w:val="00934AB2"/>
    <w:rsid w:val="009356BC"/>
    <w:rsid w:val="009359B4"/>
    <w:rsid w:val="00936080"/>
    <w:rsid w:val="00936776"/>
    <w:rsid w:val="00940881"/>
    <w:rsid w:val="0094137E"/>
    <w:rsid w:val="00945707"/>
    <w:rsid w:val="0095005D"/>
    <w:rsid w:val="00950671"/>
    <w:rsid w:val="00951420"/>
    <w:rsid w:val="009529D6"/>
    <w:rsid w:val="009531EA"/>
    <w:rsid w:val="00954A78"/>
    <w:rsid w:val="00955D88"/>
    <w:rsid w:val="00956695"/>
    <w:rsid w:val="009570B7"/>
    <w:rsid w:val="00957971"/>
    <w:rsid w:val="00957BBB"/>
    <w:rsid w:val="0096158C"/>
    <w:rsid w:val="00961C76"/>
    <w:rsid w:val="00962AED"/>
    <w:rsid w:val="00962FC6"/>
    <w:rsid w:val="00965112"/>
    <w:rsid w:val="0096707D"/>
    <w:rsid w:val="0096735C"/>
    <w:rsid w:val="0097088B"/>
    <w:rsid w:val="00970DF1"/>
    <w:rsid w:val="00971131"/>
    <w:rsid w:val="00971EA6"/>
    <w:rsid w:val="00972CFC"/>
    <w:rsid w:val="0097314F"/>
    <w:rsid w:val="00973B36"/>
    <w:rsid w:val="00973C73"/>
    <w:rsid w:val="00974303"/>
    <w:rsid w:val="00976124"/>
    <w:rsid w:val="0097768F"/>
    <w:rsid w:val="0098001E"/>
    <w:rsid w:val="009823A2"/>
    <w:rsid w:val="009828B7"/>
    <w:rsid w:val="00983427"/>
    <w:rsid w:val="00983F6C"/>
    <w:rsid w:val="00984506"/>
    <w:rsid w:val="009848E7"/>
    <w:rsid w:val="00984D8F"/>
    <w:rsid w:val="00985004"/>
    <w:rsid w:val="00986538"/>
    <w:rsid w:val="00986900"/>
    <w:rsid w:val="00986EB4"/>
    <w:rsid w:val="00987896"/>
    <w:rsid w:val="00990851"/>
    <w:rsid w:val="00990ACE"/>
    <w:rsid w:val="00990D32"/>
    <w:rsid w:val="0099165C"/>
    <w:rsid w:val="00993A35"/>
    <w:rsid w:val="00993BF9"/>
    <w:rsid w:val="00993CCC"/>
    <w:rsid w:val="00993D14"/>
    <w:rsid w:val="00994B1D"/>
    <w:rsid w:val="00995014"/>
    <w:rsid w:val="0099638F"/>
    <w:rsid w:val="0099648F"/>
    <w:rsid w:val="00996806"/>
    <w:rsid w:val="00996920"/>
    <w:rsid w:val="009975C1"/>
    <w:rsid w:val="009977F7"/>
    <w:rsid w:val="009978BE"/>
    <w:rsid w:val="00997B2A"/>
    <w:rsid w:val="009A058C"/>
    <w:rsid w:val="009A3418"/>
    <w:rsid w:val="009A5DB4"/>
    <w:rsid w:val="009B20A5"/>
    <w:rsid w:val="009B29DB"/>
    <w:rsid w:val="009B312E"/>
    <w:rsid w:val="009B324A"/>
    <w:rsid w:val="009B409E"/>
    <w:rsid w:val="009B43E1"/>
    <w:rsid w:val="009B46A2"/>
    <w:rsid w:val="009B4820"/>
    <w:rsid w:val="009B4E11"/>
    <w:rsid w:val="009B5D4E"/>
    <w:rsid w:val="009B5DDE"/>
    <w:rsid w:val="009B5FE3"/>
    <w:rsid w:val="009B63EC"/>
    <w:rsid w:val="009C0B70"/>
    <w:rsid w:val="009C12A6"/>
    <w:rsid w:val="009C1AB4"/>
    <w:rsid w:val="009C1EF8"/>
    <w:rsid w:val="009C21E0"/>
    <w:rsid w:val="009C2331"/>
    <w:rsid w:val="009C26A5"/>
    <w:rsid w:val="009C5110"/>
    <w:rsid w:val="009C67FB"/>
    <w:rsid w:val="009D0AF6"/>
    <w:rsid w:val="009D1126"/>
    <w:rsid w:val="009D1CD7"/>
    <w:rsid w:val="009D2881"/>
    <w:rsid w:val="009D29DA"/>
    <w:rsid w:val="009D2CF9"/>
    <w:rsid w:val="009D319F"/>
    <w:rsid w:val="009D40D7"/>
    <w:rsid w:val="009D4B52"/>
    <w:rsid w:val="009D4EF7"/>
    <w:rsid w:val="009D6964"/>
    <w:rsid w:val="009D6FD4"/>
    <w:rsid w:val="009D748C"/>
    <w:rsid w:val="009E00E3"/>
    <w:rsid w:val="009E1A4C"/>
    <w:rsid w:val="009E4BBE"/>
    <w:rsid w:val="009E7505"/>
    <w:rsid w:val="009F18B0"/>
    <w:rsid w:val="009F3F83"/>
    <w:rsid w:val="009F6DEC"/>
    <w:rsid w:val="00A0152B"/>
    <w:rsid w:val="00A02569"/>
    <w:rsid w:val="00A02FC5"/>
    <w:rsid w:val="00A03398"/>
    <w:rsid w:val="00A03850"/>
    <w:rsid w:val="00A03D89"/>
    <w:rsid w:val="00A04B0C"/>
    <w:rsid w:val="00A0548C"/>
    <w:rsid w:val="00A05606"/>
    <w:rsid w:val="00A0628B"/>
    <w:rsid w:val="00A071BA"/>
    <w:rsid w:val="00A0786B"/>
    <w:rsid w:val="00A07E9B"/>
    <w:rsid w:val="00A10647"/>
    <w:rsid w:val="00A10B17"/>
    <w:rsid w:val="00A138DE"/>
    <w:rsid w:val="00A1456D"/>
    <w:rsid w:val="00A159CB"/>
    <w:rsid w:val="00A15F5E"/>
    <w:rsid w:val="00A17065"/>
    <w:rsid w:val="00A200B9"/>
    <w:rsid w:val="00A201AE"/>
    <w:rsid w:val="00A20E6F"/>
    <w:rsid w:val="00A30B40"/>
    <w:rsid w:val="00A30C78"/>
    <w:rsid w:val="00A30CA3"/>
    <w:rsid w:val="00A31F24"/>
    <w:rsid w:val="00A32C6C"/>
    <w:rsid w:val="00A330FA"/>
    <w:rsid w:val="00A33EA3"/>
    <w:rsid w:val="00A33FFB"/>
    <w:rsid w:val="00A3650C"/>
    <w:rsid w:val="00A3677C"/>
    <w:rsid w:val="00A36A49"/>
    <w:rsid w:val="00A37763"/>
    <w:rsid w:val="00A37F16"/>
    <w:rsid w:val="00A400C3"/>
    <w:rsid w:val="00A40238"/>
    <w:rsid w:val="00A423F7"/>
    <w:rsid w:val="00A424EE"/>
    <w:rsid w:val="00A428F7"/>
    <w:rsid w:val="00A43539"/>
    <w:rsid w:val="00A4674F"/>
    <w:rsid w:val="00A47C7D"/>
    <w:rsid w:val="00A5065B"/>
    <w:rsid w:val="00A50B43"/>
    <w:rsid w:val="00A5787F"/>
    <w:rsid w:val="00A614D2"/>
    <w:rsid w:val="00A62A4F"/>
    <w:rsid w:val="00A62D74"/>
    <w:rsid w:val="00A640A2"/>
    <w:rsid w:val="00A64BF9"/>
    <w:rsid w:val="00A65DE3"/>
    <w:rsid w:val="00A7019A"/>
    <w:rsid w:val="00A715B1"/>
    <w:rsid w:val="00A7389C"/>
    <w:rsid w:val="00A73B51"/>
    <w:rsid w:val="00A74D27"/>
    <w:rsid w:val="00A7613A"/>
    <w:rsid w:val="00A7726B"/>
    <w:rsid w:val="00A77BD6"/>
    <w:rsid w:val="00A8071F"/>
    <w:rsid w:val="00A82AEE"/>
    <w:rsid w:val="00A866F5"/>
    <w:rsid w:val="00A9136A"/>
    <w:rsid w:val="00A92366"/>
    <w:rsid w:val="00A92486"/>
    <w:rsid w:val="00A92981"/>
    <w:rsid w:val="00A9388F"/>
    <w:rsid w:val="00A93BE6"/>
    <w:rsid w:val="00A93D7A"/>
    <w:rsid w:val="00A964D0"/>
    <w:rsid w:val="00A96986"/>
    <w:rsid w:val="00A96E75"/>
    <w:rsid w:val="00AA01B2"/>
    <w:rsid w:val="00AA1439"/>
    <w:rsid w:val="00AA155D"/>
    <w:rsid w:val="00AA1862"/>
    <w:rsid w:val="00AA18D9"/>
    <w:rsid w:val="00AA2D17"/>
    <w:rsid w:val="00AA403D"/>
    <w:rsid w:val="00AA467F"/>
    <w:rsid w:val="00AA528E"/>
    <w:rsid w:val="00AA5B49"/>
    <w:rsid w:val="00AA666B"/>
    <w:rsid w:val="00AA6DC4"/>
    <w:rsid w:val="00AA77D6"/>
    <w:rsid w:val="00AA7A5A"/>
    <w:rsid w:val="00AA7A73"/>
    <w:rsid w:val="00AB0743"/>
    <w:rsid w:val="00AB1D11"/>
    <w:rsid w:val="00AB355D"/>
    <w:rsid w:val="00AB4590"/>
    <w:rsid w:val="00AB497F"/>
    <w:rsid w:val="00AB4F5E"/>
    <w:rsid w:val="00AB5700"/>
    <w:rsid w:val="00AB6607"/>
    <w:rsid w:val="00AC1393"/>
    <w:rsid w:val="00AC16A9"/>
    <w:rsid w:val="00AC1B44"/>
    <w:rsid w:val="00AC2E88"/>
    <w:rsid w:val="00AC710B"/>
    <w:rsid w:val="00AD0256"/>
    <w:rsid w:val="00AD1CA8"/>
    <w:rsid w:val="00AD1F01"/>
    <w:rsid w:val="00AD4C56"/>
    <w:rsid w:val="00AD6943"/>
    <w:rsid w:val="00AD7391"/>
    <w:rsid w:val="00AD7E84"/>
    <w:rsid w:val="00AE0AA0"/>
    <w:rsid w:val="00AE4F2B"/>
    <w:rsid w:val="00AF02BC"/>
    <w:rsid w:val="00AF08C0"/>
    <w:rsid w:val="00AF0F9E"/>
    <w:rsid w:val="00AF16CF"/>
    <w:rsid w:val="00AF1C1E"/>
    <w:rsid w:val="00AF373D"/>
    <w:rsid w:val="00AF518C"/>
    <w:rsid w:val="00AF5510"/>
    <w:rsid w:val="00AF6A33"/>
    <w:rsid w:val="00AF6AB7"/>
    <w:rsid w:val="00B024A9"/>
    <w:rsid w:val="00B0353F"/>
    <w:rsid w:val="00B04A83"/>
    <w:rsid w:val="00B0531C"/>
    <w:rsid w:val="00B05A36"/>
    <w:rsid w:val="00B065AA"/>
    <w:rsid w:val="00B06E10"/>
    <w:rsid w:val="00B07179"/>
    <w:rsid w:val="00B102DE"/>
    <w:rsid w:val="00B10C12"/>
    <w:rsid w:val="00B120CA"/>
    <w:rsid w:val="00B12471"/>
    <w:rsid w:val="00B134AC"/>
    <w:rsid w:val="00B13DEB"/>
    <w:rsid w:val="00B1455D"/>
    <w:rsid w:val="00B14C1B"/>
    <w:rsid w:val="00B15363"/>
    <w:rsid w:val="00B17508"/>
    <w:rsid w:val="00B17667"/>
    <w:rsid w:val="00B20032"/>
    <w:rsid w:val="00B21FC9"/>
    <w:rsid w:val="00B2485C"/>
    <w:rsid w:val="00B24BFE"/>
    <w:rsid w:val="00B27B7D"/>
    <w:rsid w:val="00B27C43"/>
    <w:rsid w:val="00B27FD6"/>
    <w:rsid w:val="00B3590A"/>
    <w:rsid w:val="00B35976"/>
    <w:rsid w:val="00B36065"/>
    <w:rsid w:val="00B36A69"/>
    <w:rsid w:val="00B371DC"/>
    <w:rsid w:val="00B37DAC"/>
    <w:rsid w:val="00B40313"/>
    <w:rsid w:val="00B4148A"/>
    <w:rsid w:val="00B434A3"/>
    <w:rsid w:val="00B4517E"/>
    <w:rsid w:val="00B45B03"/>
    <w:rsid w:val="00B475E8"/>
    <w:rsid w:val="00B51296"/>
    <w:rsid w:val="00B519AD"/>
    <w:rsid w:val="00B51FE3"/>
    <w:rsid w:val="00B52782"/>
    <w:rsid w:val="00B528ED"/>
    <w:rsid w:val="00B534C7"/>
    <w:rsid w:val="00B548D2"/>
    <w:rsid w:val="00B54C77"/>
    <w:rsid w:val="00B54D4D"/>
    <w:rsid w:val="00B57E52"/>
    <w:rsid w:val="00B61BCC"/>
    <w:rsid w:val="00B6307B"/>
    <w:rsid w:val="00B6362D"/>
    <w:rsid w:val="00B63BED"/>
    <w:rsid w:val="00B63EE9"/>
    <w:rsid w:val="00B71EC0"/>
    <w:rsid w:val="00B72276"/>
    <w:rsid w:val="00B739B7"/>
    <w:rsid w:val="00B73AC3"/>
    <w:rsid w:val="00B74C59"/>
    <w:rsid w:val="00B75892"/>
    <w:rsid w:val="00B7655E"/>
    <w:rsid w:val="00B76A2C"/>
    <w:rsid w:val="00B77E74"/>
    <w:rsid w:val="00B80047"/>
    <w:rsid w:val="00B813B7"/>
    <w:rsid w:val="00B81A21"/>
    <w:rsid w:val="00B82A0D"/>
    <w:rsid w:val="00B82D11"/>
    <w:rsid w:val="00B8440A"/>
    <w:rsid w:val="00B86E39"/>
    <w:rsid w:val="00B87D9F"/>
    <w:rsid w:val="00B92905"/>
    <w:rsid w:val="00B92949"/>
    <w:rsid w:val="00B9320C"/>
    <w:rsid w:val="00B934AF"/>
    <w:rsid w:val="00B949F1"/>
    <w:rsid w:val="00B95940"/>
    <w:rsid w:val="00B95AC5"/>
    <w:rsid w:val="00B95F79"/>
    <w:rsid w:val="00B9626A"/>
    <w:rsid w:val="00B97696"/>
    <w:rsid w:val="00B97F51"/>
    <w:rsid w:val="00BA259D"/>
    <w:rsid w:val="00BA4677"/>
    <w:rsid w:val="00BA4B21"/>
    <w:rsid w:val="00BA507C"/>
    <w:rsid w:val="00BA508D"/>
    <w:rsid w:val="00BA529A"/>
    <w:rsid w:val="00BA5600"/>
    <w:rsid w:val="00BA6129"/>
    <w:rsid w:val="00BA6C69"/>
    <w:rsid w:val="00BA73A9"/>
    <w:rsid w:val="00BA7EE4"/>
    <w:rsid w:val="00BB0D7C"/>
    <w:rsid w:val="00BB25D0"/>
    <w:rsid w:val="00BB27B5"/>
    <w:rsid w:val="00BB4B99"/>
    <w:rsid w:val="00BB60B7"/>
    <w:rsid w:val="00BB73B0"/>
    <w:rsid w:val="00BB79E1"/>
    <w:rsid w:val="00BC0C34"/>
    <w:rsid w:val="00BC1922"/>
    <w:rsid w:val="00BC25B0"/>
    <w:rsid w:val="00BC29FD"/>
    <w:rsid w:val="00BC2DDC"/>
    <w:rsid w:val="00BC5503"/>
    <w:rsid w:val="00BC5538"/>
    <w:rsid w:val="00BC662F"/>
    <w:rsid w:val="00BC77B0"/>
    <w:rsid w:val="00BD448B"/>
    <w:rsid w:val="00BD475C"/>
    <w:rsid w:val="00BD4E2B"/>
    <w:rsid w:val="00BD7206"/>
    <w:rsid w:val="00BE109B"/>
    <w:rsid w:val="00BE2749"/>
    <w:rsid w:val="00BE2AAE"/>
    <w:rsid w:val="00BE3B9E"/>
    <w:rsid w:val="00BE44CF"/>
    <w:rsid w:val="00BE5070"/>
    <w:rsid w:val="00BE50D1"/>
    <w:rsid w:val="00BE639C"/>
    <w:rsid w:val="00BE6D20"/>
    <w:rsid w:val="00BF0476"/>
    <w:rsid w:val="00BF155A"/>
    <w:rsid w:val="00BF15E2"/>
    <w:rsid w:val="00BF286E"/>
    <w:rsid w:val="00BF3D4E"/>
    <w:rsid w:val="00BF432B"/>
    <w:rsid w:val="00BF57FC"/>
    <w:rsid w:val="00C00BFC"/>
    <w:rsid w:val="00C0280A"/>
    <w:rsid w:val="00C03A23"/>
    <w:rsid w:val="00C0545D"/>
    <w:rsid w:val="00C05B84"/>
    <w:rsid w:val="00C05C97"/>
    <w:rsid w:val="00C05DD3"/>
    <w:rsid w:val="00C07195"/>
    <w:rsid w:val="00C07828"/>
    <w:rsid w:val="00C10E63"/>
    <w:rsid w:val="00C124AE"/>
    <w:rsid w:val="00C12E3F"/>
    <w:rsid w:val="00C14CE1"/>
    <w:rsid w:val="00C14EB2"/>
    <w:rsid w:val="00C156B1"/>
    <w:rsid w:val="00C1580C"/>
    <w:rsid w:val="00C16DD0"/>
    <w:rsid w:val="00C205B3"/>
    <w:rsid w:val="00C205B6"/>
    <w:rsid w:val="00C20C62"/>
    <w:rsid w:val="00C216D4"/>
    <w:rsid w:val="00C21B06"/>
    <w:rsid w:val="00C21E5F"/>
    <w:rsid w:val="00C24D8F"/>
    <w:rsid w:val="00C262EE"/>
    <w:rsid w:val="00C26F40"/>
    <w:rsid w:val="00C2737C"/>
    <w:rsid w:val="00C30B14"/>
    <w:rsid w:val="00C30F00"/>
    <w:rsid w:val="00C34149"/>
    <w:rsid w:val="00C341BE"/>
    <w:rsid w:val="00C3430B"/>
    <w:rsid w:val="00C36488"/>
    <w:rsid w:val="00C37A4D"/>
    <w:rsid w:val="00C37FBE"/>
    <w:rsid w:val="00C37FE6"/>
    <w:rsid w:val="00C41343"/>
    <w:rsid w:val="00C4169A"/>
    <w:rsid w:val="00C41C18"/>
    <w:rsid w:val="00C427B7"/>
    <w:rsid w:val="00C444F7"/>
    <w:rsid w:val="00C445C0"/>
    <w:rsid w:val="00C44F8A"/>
    <w:rsid w:val="00C45A20"/>
    <w:rsid w:val="00C45DD8"/>
    <w:rsid w:val="00C46DDD"/>
    <w:rsid w:val="00C4773B"/>
    <w:rsid w:val="00C47B71"/>
    <w:rsid w:val="00C54C85"/>
    <w:rsid w:val="00C54D73"/>
    <w:rsid w:val="00C55485"/>
    <w:rsid w:val="00C55E9D"/>
    <w:rsid w:val="00C57F65"/>
    <w:rsid w:val="00C60445"/>
    <w:rsid w:val="00C61575"/>
    <w:rsid w:val="00C61772"/>
    <w:rsid w:val="00C63B23"/>
    <w:rsid w:val="00C6588D"/>
    <w:rsid w:val="00C67A19"/>
    <w:rsid w:val="00C701A1"/>
    <w:rsid w:val="00C70880"/>
    <w:rsid w:val="00C7168E"/>
    <w:rsid w:val="00C72B17"/>
    <w:rsid w:val="00C73104"/>
    <w:rsid w:val="00C73558"/>
    <w:rsid w:val="00C73D9F"/>
    <w:rsid w:val="00C73EA3"/>
    <w:rsid w:val="00C76A76"/>
    <w:rsid w:val="00C76B2E"/>
    <w:rsid w:val="00C77D44"/>
    <w:rsid w:val="00C800A0"/>
    <w:rsid w:val="00C8279B"/>
    <w:rsid w:val="00C828B8"/>
    <w:rsid w:val="00C83852"/>
    <w:rsid w:val="00C856CA"/>
    <w:rsid w:val="00C86B39"/>
    <w:rsid w:val="00C9033A"/>
    <w:rsid w:val="00C91D2A"/>
    <w:rsid w:val="00C92260"/>
    <w:rsid w:val="00C926BB"/>
    <w:rsid w:val="00C934C5"/>
    <w:rsid w:val="00C935AB"/>
    <w:rsid w:val="00C93CC2"/>
    <w:rsid w:val="00C93F68"/>
    <w:rsid w:val="00C9480C"/>
    <w:rsid w:val="00C95906"/>
    <w:rsid w:val="00C95D54"/>
    <w:rsid w:val="00C97D44"/>
    <w:rsid w:val="00CA1500"/>
    <w:rsid w:val="00CA2807"/>
    <w:rsid w:val="00CA320D"/>
    <w:rsid w:val="00CA4151"/>
    <w:rsid w:val="00CA4AF5"/>
    <w:rsid w:val="00CA5A07"/>
    <w:rsid w:val="00CA6579"/>
    <w:rsid w:val="00CA6EDB"/>
    <w:rsid w:val="00CA7D07"/>
    <w:rsid w:val="00CB044B"/>
    <w:rsid w:val="00CB137C"/>
    <w:rsid w:val="00CB18FD"/>
    <w:rsid w:val="00CB1A4D"/>
    <w:rsid w:val="00CB1CB8"/>
    <w:rsid w:val="00CB1F64"/>
    <w:rsid w:val="00CB37BB"/>
    <w:rsid w:val="00CB37CF"/>
    <w:rsid w:val="00CB3834"/>
    <w:rsid w:val="00CB3F00"/>
    <w:rsid w:val="00CB5D44"/>
    <w:rsid w:val="00CB6DF8"/>
    <w:rsid w:val="00CC06F0"/>
    <w:rsid w:val="00CC12AB"/>
    <w:rsid w:val="00CC181A"/>
    <w:rsid w:val="00CC3577"/>
    <w:rsid w:val="00CC3B68"/>
    <w:rsid w:val="00CC3DC8"/>
    <w:rsid w:val="00CC61D4"/>
    <w:rsid w:val="00CC7968"/>
    <w:rsid w:val="00CC7C53"/>
    <w:rsid w:val="00CD1812"/>
    <w:rsid w:val="00CD582A"/>
    <w:rsid w:val="00CD60D5"/>
    <w:rsid w:val="00CD6B6C"/>
    <w:rsid w:val="00CE2569"/>
    <w:rsid w:val="00CE4032"/>
    <w:rsid w:val="00CE47D3"/>
    <w:rsid w:val="00CE53E8"/>
    <w:rsid w:val="00CE608D"/>
    <w:rsid w:val="00CE667E"/>
    <w:rsid w:val="00CE762F"/>
    <w:rsid w:val="00CF32AB"/>
    <w:rsid w:val="00CF3463"/>
    <w:rsid w:val="00CF46A9"/>
    <w:rsid w:val="00CF48DF"/>
    <w:rsid w:val="00CF6E79"/>
    <w:rsid w:val="00CF6E7D"/>
    <w:rsid w:val="00CF7B7E"/>
    <w:rsid w:val="00D01132"/>
    <w:rsid w:val="00D01F74"/>
    <w:rsid w:val="00D0323A"/>
    <w:rsid w:val="00D04BF6"/>
    <w:rsid w:val="00D05526"/>
    <w:rsid w:val="00D05849"/>
    <w:rsid w:val="00D061C5"/>
    <w:rsid w:val="00D1092A"/>
    <w:rsid w:val="00D116FD"/>
    <w:rsid w:val="00D1176B"/>
    <w:rsid w:val="00D11B4A"/>
    <w:rsid w:val="00D121F2"/>
    <w:rsid w:val="00D130A8"/>
    <w:rsid w:val="00D135D3"/>
    <w:rsid w:val="00D14D85"/>
    <w:rsid w:val="00D156E0"/>
    <w:rsid w:val="00D165EC"/>
    <w:rsid w:val="00D1682E"/>
    <w:rsid w:val="00D16A2B"/>
    <w:rsid w:val="00D17F58"/>
    <w:rsid w:val="00D209B7"/>
    <w:rsid w:val="00D24F95"/>
    <w:rsid w:val="00D25B3A"/>
    <w:rsid w:val="00D25E27"/>
    <w:rsid w:val="00D2601B"/>
    <w:rsid w:val="00D26037"/>
    <w:rsid w:val="00D275E0"/>
    <w:rsid w:val="00D3209A"/>
    <w:rsid w:val="00D32926"/>
    <w:rsid w:val="00D331B2"/>
    <w:rsid w:val="00D34A7D"/>
    <w:rsid w:val="00D351F1"/>
    <w:rsid w:val="00D358ED"/>
    <w:rsid w:val="00D362CF"/>
    <w:rsid w:val="00D3649C"/>
    <w:rsid w:val="00D37563"/>
    <w:rsid w:val="00D4180E"/>
    <w:rsid w:val="00D41B1B"/>
    <w:rsid w:val="00D41ED3"/>
    <w:rsid w:val="00D42662"/>
    <w:rsid w:val="00D4355D"/>
    <w:rsid w:val="00D436AB"/>
    <w:rsid w:val="00D43BB3"/>
    <w:rsid w:val="00D443BA"/>
    <w:rsid w:val="00D447ED"/>
    <w:rsid w:val="00D4672E"/>
    <w:rsid w:val="00D53824"/>
    <w:rsid w:val="00D53AF1"/>
    <w:rsid w:val="00D55645"/>
    <w:rsid w:val="00D5591B"/>
    <w:rsid w:val="00D56DA2"/>
    <w:rsid w:val="00D57543"/>
    <w:rsid w:val="00D577B2"/>
    <w:rsid w:val="00D603FF"/>
    <w:rsid w:val="00D6077E"/>
    <w:rsid w:val="00D607CD"/>
    <w:rsid w:val="00D63974"/>
    <w:rsid w:val="00D64364"/>
    <w:rsid w:val="00D645C2"/>
    <w:rsid w:val="00D64786"/>
    <w:rsid w:val="00D64B42"/>
    <w:rsid w:val="00D64D68"/>
    <w:rsid w:val="00D66197"/>
    <w:rsid w:val="00D70312"/>
    <w:rsid w:val="00D70648"/>
    <w:rsid w:val="00D75022"/>
    <w:rsid w:val="00D75472"/>
    <w:rsid w:val="00D758AB"/>
    <w:rsid w:val="00D7598E"/>
    <w:rsid w:val="00D77A89"/>
    <w:rsid w:val="00D80605"/>
    <w:rsid w:val="00D81658"/>
    <w:rsid w:val="00D817E4"/>
    <w:rsid w:val="00D84E5F"/>
    <w:rsid w:val="00D86388"/>
    <w:rsid w:val="00D86619"/>
    <w:rsid w:val="00D87BEF"/>
    <w:rsid w:val="00D9118D"/>
    <w:rsid w:val="00D91445"/>
    <w:rsid w:val="00D93773"/>
    <w:rsid w:val="00D96231"/>
    <w:rsid w:val="00D96244"/>
    <w:rsid w:val="00D973DB"/>
    <w:rsid w:val="00D97A9E"/>
    <w:rsid w:val="00DA0201"/>
    <w:rsid w:val="00DA07D4"/>
    <w:rsid w:val="00DA132F"/>
    <w:rsid w:val="00DA18DD"/>
    <w:rsid w:val="00DA276E"/>
    <w:rsid w:val="00DA3526"/>
    <w:rsid w:val="00DA43EF"/>
    <w:rsid w:val="00DA447F"/>
    <w:rsid w:val="00DA5138"/>
    <w:rsid w:val="00DA6A69"/>
    <w:rsid w:val="00DA6B13"/>
    <w:rsid w:val="00DA7F3A"/>
    <w:rsid w:val="00DB011B"/>
    <w:rsid w:val="00DB23D9"/>
    <w:rsid w:val="00DB38D5"/>
    <w:rsid w:val="00DB41BD"/>
    <w:rsid w:val="00DB5D5B"/>
    <w:rsid w:val="00DC0079"/>
    <w:rsid w:val="00DC03F0"/>
    <w:rsid w:val="00DC07B0"/>
    <w:rsid w:val="00DC1FE9"/>
    <w:rsid w:val="00DC2001"/>
    <w:rsid w:val="00DC2013"/>
    <w:rsid w:val="00DC280F"/>
    <w:rsid w:val="00DC2B41"/>
    <w:rsid w:val="00DC2EA2"/>
    <w:rsid w:val="00DC335C"/>
    <w:rsid w:val="00DC547E"/>
    <w:rsid w:val="00DC6149"/>
    <w:rsid w:val="00DD06AE"/>
    <w:rsid w:val="00DD074C"/>
    <w:rsid w:val="00DD35D3"/>
    <w:rsid w:val="00DD3855"/>
    <w:rsid w:val="00DD4734"/>
    <w:rsid w:val="00DD5461"/>
    <w:rsid w:val="00DD6912"/>
    <w:rsid w:val="00DD757A"/>
    <w:rsid w:val="00DD7BC2"/>
    <w:rsid w:val="00DE1512"/>
    <w:rsid w:val="00DE1672"/>
    <w:rsid w:val="00DE5591"/>
    <w:rsid w:val="00DE56D3"/>
    <w:rsid w:val="00DE5778"/>
    <w:rsid w:val="00DE6DEE"/>
    <w:rsid w:val="00DF0882"/>
    <w:rsid w:val="00DF10F0"/>
    <w:rsid w:val="00DF480F"/>
    <w:rsid w:val="00DF58E0"/>
    <w:rsid w:val="00DF6502"/>
    <w:rsid w:val="00E01A8C"/>
    <w:rsid w:val="00E073C3"/>
    <w:rsid w:val="00E10D48"/>
    <w:rsid w:val="00E11A91"/>
    <w:rsid w:val="00E13767"/>
    <w:rsid w:val="00E147B1"/>
    <w:rsid w:val="00E153F5"/>
    <w:rsid w:val="00E1630B"/>
    <w:rsid w:val="00E167BA"/>
    <w:rsid w:val="00E16BBC"/>
    <w:rsid w:val="00E1734F"/>
    <w:rsid w:val="00E177E7"/>
    <w:rsid w:val="00E17C53"/>
    <w:rsid w:val="00E17EAE"/>
    <w:rsid w:val="00E21438"/>
    <w:rsid w:val="00E21A9C"/>
    <w:rsid w:val="00E2400F"/>
    <w:rsid w:val="00E246E0"/>
    <w:rsid w:val="00E24A5F"/>
    <w:rsid w:val="00E275C7"/>
    <w:rsid w:val="00E33519"/>
    <w:rsid w:val="00E346DA"/>
    <w:rsid w:val="00E34CE5"/>
    <w:rsid w:val="00E3546C"/>
    <w:rsid w:val="00E35E0E"/>
    <w:rsid w:val="00E374E4"/>
    <w:rsid w:val="00E40BAE"/>
    <w:rsid w:val="00E40EEF"/>
    <w:rsid w:val="00E42A91"/>
    <w:rsid w:val="00E42DE9"/>
    <w:rsid w:val="00E434DE"/>
    <w:rsid w:val="00E4436A"/>
    <w:rsid w:val="00E476A7"/>
    <w:rsid w:val="00E478B7"/>
    <w:rsid w:val="00E479E7"/>
    <w:rsid w:val="00E502BC"/>
    <w:rsid w:val="00E5061B"/>
    <w:rsid w:val="00E51317"/>
    <w:rsid w:val="00E5156D"/>
    <w:rsid w:val="00E51BA0"/>
    <w:rsid w:val="00E51C0E"/>
    <w:rsid w:val="00E52065"/>
    <w:rsid w:val="00E52635"/>
    <w:rsid w:val="00E533A4"/>
    <w:rsid w:val="00E53462"/>
    <w:rsid w:val="00E53DE6"/>
    <w:rsid w:val="00E54DB5"/>
    <w:rsid w:val="00E55EB5"/>
    <w:rsid w:val="00E60A9F"/>
    <w:rsid w:val="00E61062"/>
    <w:rsid w:val="00E61F61"/>
    <w:rsid w:val="00E626DE"/>
    <w:rsid w:val="00E659F2"/>
    <w:rsid w:val="00E662DF"/>
    <w:rsid w:val="00E70728"/>
    <w:rsid w:val="00E7196C"/>
    <w:rsid w:val="00E71D65"/>
    <w:rsid w:val="00E72E60"/>
    <w:rsid w:val="00E734C7"/>
    <w:rsid w:val="00E74ECB"/>
    <w:rsid w:val="00E75383"/>
    <w:rsid w:val="00E80512"/>
    <w:rsid w:val="00E82BEF"/>
    <w:rsid w:val="00E830A4"/>
    <w:rsid w:val="00E84FDC"/>
    <w:rsid w:val="00E90672"/>
    <w:rsid w:val="00E92369"/>
    <w:rsid w:val="00E9249E"/>
    <w:rsid w:val="00E9386A"/>
    <w:rsid w:val="00E93D75"/>
    <w:rsid w:val="00E94AE0"/>
    <w:rsid w:val="00E94DAE"/>
    <w:rsid w:val="00E9560E"/>
    <w:rsid w:val="00E95C26"/>
    <w:rsid w:val="00E97C2A"/>
    <w:rsid w:val="00EA0731"/>
    <w:rsid w:val="00EA1611"/>
    <w:rsid w:val="00EA1D88"/>
    <w:rsid w:val="00EA29A1"/>
    <w:rsid w:val="00EA4F07"/>
    <w:rsid w:val="00EA7C39"/>
    <w:rsid w:val="00EA7C93"/>
    <w:rsid w:val="00EB102C"/>
    <w:rsid w:val="00EB2E53"/>
    <w:rsid w:val="00EB33B4"/>
    <w:rsid w:val="00EB34A6"/>
    <w:rsid w:val="00EB406E"/>
    <w:rsid w:val="00EB588B"/>
    <w:rsid w:val="00EB5D14"/>
    <w:rsid w:val="00EB6960"/>
    <w:rsid w:val="00EB6C84"/>
    <w:rsid w:val="00EB7F20"/>
    <w:rsid w:val="00EC0164"/>
    <w:rsid w:val="00EC2294"/>
    <w:rsid w:val="00EC27FB"/>
    <w:rsid w:val="00EC3691"/>
    <w:rsid w:val="00EC4044"/>
    <w:rsid w:val="00EC467D"/>
    <w:rsid w:val="00EC681C"/>
    <w:rsid w:val="00EC6E47"/>
    <w:rsid w:val="00EC7079"/>
    <w:rsid w:val="00ED04E4"/>
    <w:rsid w:val="00ED1374"/>
    <w:rsid w:val="00ED184E"/>
    <w:rsid w:val="00ED386A"/>
    <w:rsid w:val="00ED4285"/>
    <w:rsid w:val="00ED4C18"/>
    <w:rsid w:val="00ED62AB"/>
    <w:rsid w:val="00ED7D79"/>
    <w:rsid w:val="00EE0CB8"/>
    <w:rsid w:val="00EE20E8"/>
    <w:rsid w:val="00EE23DF"/>
    <w:rsid w:val="00EE2D91"/>
    <w:rsid w:val="00EE4C69"/>
    <w:rsid w:val="00EE4EE8"/>
    <w:rsid w:val="00EE688A"/>
    <w:rsid w:val="00EF30F6"/>
    <w:rsid w:val="00EF5911"/>
    <w:rsid w:val="00EF5945"/>
    <w:rsid w:val="00EF72AD"/>
    <w:rsid w:val="00EF792A"/>
    <w:rsid w:val="00F0058A"/>
    <w:rsid w:val="00F01F34"/>
    <w:rsid w:val="00F033E6"/>
    <w:rsid w:val="00F03F3D"/>
    <w:rsid w:val="00F03F50"/>
    <w:rsid w:val="00F040A1"/>
    <w:rsid w:val="00F059C6"/>
    <w:rsid w:val="00F07112"/>
    <w:rsid w:val="00F07251"/>
    <w:rsid w:val="00F07FF6"/>
    <w:rsid w:val="00F11001"/>
    <w:rsid w:val="00F11930"/>
    <w:rsid w:val="00F12F92"/>
    <w:rsid w:val="00F132D0"/>
    <w:rsid w:val="00F13428"/>
    <w:rsid w:val="00F1444D"/>
    <w:rsid w:val="00F14979"/>
    <w:rsid w:val="00F14990"/>
    <w:rsid w:val="00F14BDC"/>
    <w:rsid w:val="00F152C2"/>
    <w:rsid w:val="00F17158"/>
    <w:rsid w:val="00F17AEC"/>
    <w:rsid w:val="00F20382"/>
    <w:rsid w:val="00F216DB"/>
    <w:rsid w:val="00F234E9"/>
    <w:rsid w:val="00F245BD"/>
    <w:rsid w:val="00F24644"/>
    <w:rsid w:val="00F2497F"/>
    <w:rsid w:val="00F2525F"/>
    <w:rsid w:val="00F25961"/>
    <w:rsid w:val="00F26CD7"/>
    <w:rsid w:val="00F27E6D"/>
    <w:rsid w:val="00F30249"/>
    <w:rsid w:val="00F314A6"/>
    <w:rsid w:val="00F347A6"/>
    <w:rsid w:val="00F36D92"/>
    <w:rsid w:val="00F3767C"/>
    <w:rsid w:val="00F40B8D"/>
    <w:rsid w:val="00F41237"/>
    <w:rsid w:val="00F41752"/>
    <w:rsid w:val="00F4439F"/>
    <w:rsid w:val="00F45644"/>
    <w:rsid w:val="00F46123"/>
    <w:rsid w:val="00F47850"/>
    <w:rsid w:val="00F5015C"/>
    <w:rsid w:val="00F50254"/>
    <w:rsid w:val="00F51077"/>
    <w:rsid w:val="00F5142F"/>
    <w:rsid w:val="00F51D60"/>
    <w:rsid w:val="00F52D03"/>
    <w:rsid w:val="00F52F40"/>
    <w:rsid w:val="00F53E5F"/>
    <w:rsid w:val="00F54810"/>
    <w:rsid w:val="00F553CD"/>
    <w:rsid w:val="00F563D3"/>
    <w:rsid w:val="00F56A1C"/>
    <w:rsid w:val="00F56A4A"/>
    <w:rsid w:val="00F56CFD"/>
    <w:rsid w:val="00F603AB"/>
    <w:rsid w:val="00F606E7"/>
    <w:rsid w:val="00F634F7"/>
    <w:rsid w:val="00F635AA"/>
    <w:rsid w:val="00F67AFF"/>
    <w:rsid w:val="00F72188"/>
    <w:rsid w:val="00F728DA"/>
    <w:rsid w:val="00F72AA9"/>
    <w:rsid w:val="00F732E2"/>
    <w:rsid w:val="00F74ABA"/>
    <w:rsid w:val="00F750C1"/>
    <w:rsid w:val="00F752D8"/>
    <w:rsid w:val="00F75474"/>
    <w:rsid w:val="00F759D3"/>
    <w:rsid w:val="00F76928"/>
    <w:rsid w:val="00F77E1A"/>
    <w:rsid w:val="00F77EB0"/>
    <w:rsid w:val="00F80E1D"/>
    <w:rsid w:val="00F8161C"/>
    <w:rsid w:val="00F81652"/>
    <w:rsid w:val="00F8199C"/>
    <w:rsid w:val="00F81D48"/>
    <w:rsid w:val="00F82EC2"/>
    <w:rsid w:val="00F83928"/>
    <w:rsid w:val="00F84635"/>
    <w:rsid w:val="00F84ECB"/>
    <w:rsid w:val="00F86575"/>
    <w:rsid w:val="00F871C2"/>
    <w:rsid w:val="00F91759"/>
    <w:rsid w:val="00F931F8"/>
    <w:rsid w:val="00F94351"/>
    <w:rsid w:val="00F94873"/>
    <w:rsid w:val="00F9519D"/>
    <w:rsid w:val="00FA065D"/>
    <w:rsid w:val="00FA1B3B"/>
    <w:rsid w:val="00FA20F1"/>
    <w:rsid w:val="00FA30DC"/>
    <w:rsid w:val="00FA427B"/>
    <w:rsid w:val="00FA4756"/>
    <w:rsid w:val="00FA4FF4"/>
    <w:rsid w:val="00FA5FC4"/>
    <w:rsid w:val="00FA66CF"/>
    <w:rsid w:val="00FA7BC8"/>
    <w:rsid w:val="00FB169C"/>
    <w:rsid w:val="00FB1FF6"/>
    <w:rsid w:val="00FB2CB0"/>
    <w:rsid w:val="00FB319C"/>
    <w:rsid w:val="00FB3721"/>
    <w:rsid w:val="00FB3A9B"/>
    <w:rsid w:val="00FB4267"/>
    <w:rsid w:val="00FB4850"/>
    <w:rsid w:val="00FB5607"/>
    <w:rsid w:val="00FB600D"/>
    <w:rsid w:val="00FB7197"/>
    <w:rsid w:val="00FC0E89"/>
    <w:rsid w:val="00FC2EB7"/>
    <w:rsid w:val="00FC5185"/>
    <w:rsid w:val="00FC6185"/>
    <w:rsid w:val="00FC6E7A"/>
    <w:rsid w:val="00FD103F"/>
    <w:rsid w:val="00FD18CC"/>
    <w:rsid w:val="00FD1D79"/>
    <w:rsid w:val="00FD460F"/>
    <w:rsid w:val="00FD6106"/>
    <w:rsid w:val="00FD7000"/>
    <w:rsid w:val="00FD7C25"/>
    <w:rsid w:val="00FD7C9D"/>
    <w:rsid w:val="00FD7FD6"/>
    <w:rsid w:val="00FE0A6B"/>
    <w:rsid w:val="00FE1987"/>
    <w:rsid w:val="00FE1B79"/>
    <w:rsid w:val="00FE239A"/>
    <w:rsid w:val="00FF00F7"/>
    <w:rsid w:val="00FF0427"/>
    <w:rsid w:val="00FF36F8"/>
    <w:rsid w:val="00FF400B"/>
    <w:rsid w:val="00FF6153"/>
    <w:rsid w:val="15513E0C"/>
    <w:rsid w:val="29A02E05"/>
    <w:rsid w:val="2E4E995D"/>
    <w:rsid w:val="3005B0F2"/>
    <w:rsid w:val="4DAED960"/>
    <w:rsid w:val="4F94E74F"/>
    <w:rsid w:val="54EE8B6B"/>
    <w:rsid w:val="6C2424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A78"/>
    <w:pPr>
      <w:spacing w:after="120" w:line="240" w:lineRule="auto"/>
    </w:pPr>
    <w:rPr>
      <w:rFonts w:ascii="Arial" w:eastAsia="Times New Roman" w:hAnsi="Arial" w:cs="Times New Roman"/>
      <w:color w:val="000000" w:themeColor="text1"/>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954A78"/>
    <w:pPr>
      <w:numPr>
        <w:ilvl w:val="1"/>
        <w:numId w:val="1"/>
      </w:numPr>
      <w:spacing w:before="40" w:line="259" w:lineRule="auto"/>
      <w:outlineLvl w:val="1"/>
    </w:pPr>
    <w:rPr>
      <w:rFonts w:eastAsiaTheme="majorEastAsia" w:cstheme="majorBidi"/>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954A78"/>
    <w:rPr>
      <w:rFonts w:ascii="Arial" w:eastAsiaTheme="majorEastAsia" w:hAnsi="Arial" w:cstheme="majorBidi"/>
      <w:color w:val="000000" w:themeColor="text1"/>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FootnoteText">
    <w:name w:val="footnote text"/>
    <w:basedOn w:val="Normal"/>
    <w:link w:val="FootnoteTextChar"/>
    <w:uiPriority w:val="99"/>
    <w:semiHidden/>
    <w:unhideWhenUsed/>
    <w:rsid w:val="00233937"/>
    <w:pPr>
      <w:spacing w:after="0"/>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33937"/>
    <w:rPr>
      <w:rFonts w:ascii="Arial" w:hAnsi="Arial"/>
      <w:sz w:val="20"/>
      <w:szCs w:val="20"/>
    </w:rPr>
  </w:style>
  <w:style w:type="character" w:styleId="FootnoteReference">
    <w:name w:val="footnote reference"/>
    <w:basedOn w:val="DefaultParagraphFont"/>
    <w:uiPriority w:val="99"/>
    <w:semiHidden/>
    <w:unhideWhenUsed/>
    <w:rsid w:val="00233937"/>
    <w:rPr>
      <w:vertAlign w:val="superscript"/>
    </w:rPr>
  </w:style>
  <w:style w:type="paragraph" w:styleId="Revision">
    <w:name w:val="Revision"/>
    <w:hidden/>
    <w:uiPriority w:val="99"/>
    <w:semiHidden/>
    <w:rsid w:val="00870EAF"/>
    <w:pPr>
      <w:spacing w:after="0" w:line="240" w:lineRule="auto"/>
    </w:pPr>
    <w:rPr>
      <w:rFonts w:ascii="Arial" w:eastAsia="Times New Roman" w:hAnsi="Arial" w:cs="Times New Roman"/>
      <w:sz w:val="24"/>
      <w:szCs w:val="24"/>
      <w:lang w:eastAsia="en-GB"/>
    </w:rPr>
  </w:style>
  <w:style w:type="paragraph" w:customStyle="1" w:styleId="footnotedescription">
    <w:name w:val="footnote description"/>
    <w:next w:val="Normal"/>
    <w:link w:val="footnotedescriptionChar"/>
    <w:hidden/>
    <w:rsid w:val="008E3D2E"/>
    <w:pPr>
      <w:spacing w:after="0" w:line="250" w:lineRule="auto"/>
      <w:ind w:left="14" w:right="3"/>
      <w:jc w:val="both"/>
    </w:pPr>
    <w:rPr>
      <w:rFonts w:ascii="Calibri" w:eastAsia="Calibri" w:hAnsi="Calibri" w:cs="Calibri"/>
      <w:color w:val="000000"/>
      <w:lang w:eastAsia="en-GB"/>
    </w:rPr>
  </w:style>
  <w:style w:type="character" w:customStyle="1" w:styleId="footnotedescriptionChar">
    <w:name w:val="footnote description Char"/>
    <w:link w:val="footnotedescription"/>
    <w:rsid w:val="008E3D2E"/>
    <w:rPr>
      <w:rFonts w:ascii="Calibri" w:eastAsia="Calibri" w:hAnsi="Calibri" w:cs="Calibri"/>
      <w:color w:val="000000"/>
      <w:lang w:eastAsia="en-GB"/>
    </w:rPr>
  </w:style>
  <w:style w:type="character" w:customStyle="1" w:styleId="footnotemark">
    <w:name w:val="footnote mark"/>
    <w:hidden/>
    <w:rsid w:val="008E3D2E"/>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1717">
      <w:bodyDiv w:val="1"/>
      <w:marLeft w:val="0"/>
      <w:marRight w:val="0"/>
      <w:marTop w:val="0"/>
      <w:marBottom w:val="0"/>
      <w:divBdr>
        <w:top w:val="none" w:sz="0" w:space="0" w:color="auto"/>
        <w:left w:val="none" w:sz="0" w:space="0" w:color="auto"/>
        <w:bottom w:val="none" w:sz="0" w:space="0" w:color="auto"/>
        <w:right w:val="none" w:sz="0" w:space="0" w:color="auto"/>
      </w:divBdr>
    </w:div>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198398841">
      <w:bodyDiv w:val="1"/>
      <w:marLeft w:val="0"/>
      <w:marRight w:val="0"/>
      <w:marTop w:val="0"/>
      <w:marBottom w:val="0"/>
      <w:divBdr>
        <w:top w:val="none" w:sz="0" w:space="0" w:color="auto"/>
        <w:left w:val="none" w:sz="0" w:space="0" w:color="auto"/>
        <w:bottom w:val="none" w:sz="0" w:space="0" w:color="auto"/>
        <w:right w:val="none" w:sz="0" w:space="0" w:color="auto"/>
      </w:divBdr>
      <w:divsChild>
        <w:div w:id="1231650090">
          <w:marLeft w:val="0"/>
          <w:marRight w:val="0"/>
          <w:marTop w:val="0"/>
          <w:marBottom w:val="0"/>
          <w:divBdr>
            <w:top w:val="none" w:sz="0" w:space="0" w:color="auto"/>
            <w:left w:val="none" w:sz="0" w:space="0" w:color="auto"/>
            <w:bottom w:val="none" w:sz="0" w:space="0" w:color="auto"/>
            <w:right w:val="none" w:sz="0" w:space="0" w:color="auto"/>
          </w:divBdr>
        </w:div>
        <w:div w:id="59064427">
          <w:marLeft w:val="0"/>
          <w:marRight w:val="0"/>
          <w:marTop w:val="0"/>
          <w:marBottom w:val="0"/>
          <w:divBdr>
            <w:top w:val="none" w:sz="0" w:space="0" w:color="auto"/>
            <w:left w:val="none" w:sz="0" w:space="0" w:color="auto"/>
            <w:bottom w:val="none" w:sz="0" w:space="0" w:color="auto"/>
            <w:right w:val="none" w:sz="0" w:space="0" w:color="auto"/>
          </w:divBdr>
        </w:div>
        <w:div w:id="942415728">
          <w:marLeft w:val="0"/>
          <w:marRight w:val="0"/>
          <w:marTop w:val="0"/>
          <w:marBottom w:val="0"/>
          <w:divBdr>
            <w:top w:val="none" w:sz="0" w:space="0" w:color="auto"/>
            <w:left w:val="none" w:sz="0" w:space="0" w:color="auto"/>
            <w:bottom w:val="none" w:sz="0" w:space="0" w:color="auto"/>
            <w:right w:val="none" w:sz="0" w:space="0" w:color="auto"/>
          </w:divBdr>
        </w:div>
        <w:div w:id="28730125">
          <w:marLeft w:val="0"/>
          <w:marRight w:val="0"/>
          <w:marTop w:val="0"/>
          <w:marBottom w:val="0"/>
          <w:divBdr>
            <w:top w:val="none" w:sz="0" w:space="0" w:color="auto"/>
            <w:left w:val="none" w:sz="0" w:space="0" w:color="auto"/>
            <w:bottom w:val="none" w:sz="0" w:space="0" w:color="auto"/>
            <w:right w:val="none" w:sz="0" w:space="0" w:color="auto"/>
          </w:divBdr>
        </w:div>
      </w:divsChild>
    </w:div>
    <w:div w:id="271667592">
      <w:bodyDiv w:val="1"/>
      <w:marLeft w:val="0"/>
      <w:marRight w:val="0"/>
      <w:marTop w:val="0"/>
      <w:marBottom w:val="0"/>
      <w:divBdr>
        <w:top w:val="none" w:sz="0" w:space="0" w:color="auto"/>
        <w:left w:val="none" w:sz="0" w:space="0" w:color="auto"/>
        <w:bottom w:val="none" w:sz="0" w:space="0" w:color="auto"/>
        <w:right w:val="none" w:sz="0" w:space="0" w:color="auto"/>
      </w:divBdr>
    </w:div>
    <w:div w:id="326905889">
      <w:bodyDiv w:val="1"/>
      <w:marLeft w:val="0"/>
      <w:marRight w:val="0"/>
      <w:marTop w:val="0"/>
      <w:marBottom w:val="0"/>
      <w:divBdr>
        <w:top w:val="none" w:sz="0" w:space="0" w:color="auto"/>
        <w:left w:val="none" w:sz="0" w:space="0" w:color="auto"/>
        <w:bottom w:val="none" w:sz="0" w:space="0" w:color="auto"/>
        <w:right w:val="none" w:sz="0" w:space="0" w:color="auto"/>
      </w:divBdr>
      <w:divsChild>
        <w:div w:id="1204370269">
          <w:marLeft w:val="0"/>
          <w:marRight w:val="0"/>
          <w:marTop w:val="0"/>
          <w:marBottom w:val="0"/>
          <w:divBdr>
            <w:top w:val="none" w:sz="0" w:space="0" w:color="auto"/>
            <w:left w:val="none" w:sz="0" w:space="0" w:color="auto"/>
            <w:bottom w:val="none" w:sz="0" w:space="0" w:color="auto"/>
            <w:right w:val="none" w:sz="0" w:space="0" w:color="auto"/>
          </w:divBdr>
        </w:div>
        <w:div w:id="214392582">
          <w:marLeft w:val="0"/>
          <w:marRight w:val="0"/>
          <w:marTop w:val="0"/>
          <w:marBottom w:val="0"/>
          <w:divBdr>
            <w:top w:val="none" w:sz="0" w:space="0" w:color="auto"/>
            <w:left w:val="none" w:sz="0" w:space="0" w:color="auto"/>
            <w:bottom w:val="none" w:sz="0" w:space="0" w:color="auto"/>
            <w:right w:val="none" w:sz="0" w:space="0" w:color="auto"/>
          </w:divBdr>
        </w:div>
      </w:divsChild>
    </w:div>
    <w:div w:id="361515815">
      <w:bodyDiv w:val="1"/>
      <w:marLeft w:val="0"/>
      <w:marRight w:val="0"/>
      <w:marTop w:val="0"/>
      <w:marBottom w:val="0"/>
      <w:divBdr>
        <w:top w:val="none" w:sz="0" w:space="0" w:color="auto"/>
        <w:left w:val="none" w:sz="0" w:space="0" w:color="auto"/>
        <w:bottom w:val="none" w:sz="0" w:space="0" w:color="auto"/>
        <w:right w:val="none" w:sz="0" w:space="0" w:color="auto"/>
      </w:divBdr>
    </w:div>
    <w:div w:id="433401693">
      <w:bodyDiv w:val="1"/>
      <w:marLeft w:val="0"/>
      <w:marRight w:val="0"/>
      <w:marTop w:val="0"/>
      <w:marBottom w:val="0"/>
      <w:divBdr>
        <w:top w:val="none" w:sz="0" w:space="0" w:color="auto"/>
        <w:left w:val="none" w:sz="0" w:space="0" w:color="auto"/>
        <w:bottom w:val="none" w:sz="0" w:space="0" w:color="auto"/>
        <w:right w:val="none" w:sz="0" w:space="0" w:color="auto"/>
      </w:divBdr>
    </w:div>
    <w:div w:id="469058275">
      <w:bodyDiv w:val="1"/>
      <w:marLeft w:val="0"/>
      <w:marRight w:val="0"/>
      <w:marTop w:val="0"/>
      <w:marBottom w:val="0"/>
      <w:divBdr>
        <w:top w:val="none" w:sz="0" w:space="0" w:color="auto"/>
        <w:left w:val="none" w:sz="0" w:space="0" w:color="auto"/>
        <w:bottom w:val="none" w:sz="0" w:space="0" w:color="auto"/>
        <w:right w:val="none" w:sz="0" w:space="0" w:color="auto"/>
      </w:divBdr>
      <w:divsChild>
        <w:div w:id="716860469">
          <w:marLeft w:val="0"/>
          <w:marRight w:val="0"/>
          <w:marTop w:val="0"/>
          <w:marBottom w:val="0"/>
          <w:divBdr>
            <w:top w:val="none" w:sz="0" w:space="0" w:color="auto"/>
            <w:left w:val="none" w:sz="0" w:space="0" w:color="auto"/>
            <w:bottom w:val="none" w:sz="0" w:space="0" w:color="auto"/>
            <w:right w:val="none" w:sz="0" w:space="0" w:color="auto"/>
          </w:divBdr>
        </w:div>
        <w:div w:id="1867715416">
          <w:marLeft w:val="0"/>
          <w:marRight w:val="0"/>
          <w:marTop w:val="0"/>
          <w:marBottom w:val="0"/>
          <w:divBdr>
            <w:top w:val="none" w:sz="0" w:space="0" w:color="auto"/>
            <w:left w:val="none" w:sz="0" w:space="0" w:color="auto"/>
            <w:bottom w:val="none" w:sz="0" w:space="0" w:color="auto"/>
            <w:right w:val="none" w:sz="0" w:space="0" w:color="auto"/>
          </w:divBdr>
        </w:div>
        <w:div w:id="599069804">
          <w:marLeft w:val="0"/>
          <w:marRight w:val="0"/>
          <w:marTop w:val="0"/>
          <w:marBottom w:val="0"/>
          <w:divBdr>
            <w:top w:val="none" w:sz="0" w:space="0" w:color="auto"/>
            <w:left w:val="none" w:sz="0" w:space="0" w:color="auto"/>
            <w:bottom w:val="none" w:sz="0" w:space="0" w:color="auto"/>
            <w:right w:val="none" w:sz="0" w:space="0" w:color="auto"/>
          </w:divBdr>
        </w:div>
        <w:div w:id="798457459">
          <w:marLeft w:val="0"/>
          <w:marRight w:val="0"/>
          <w:marTop w:val="0"/>
          <w:marBottom w:val="0"/>
          <w:divBdr>
            <w:top w:val="none" w:sz="0" w:space="0" w:color="auto"/>
            <w:left w:val="none" w:sz="0" w:space="0" w:color="auto"/>
            <w:bottom w:val="none" w:sz="0" w:space="0" w:color="auto"/>
            <w:right w:val="none" w:sz="0" w:space="0" w:color="auto"/>
          </w:divBdr>
        </w:div>
        <w:div w:id="1176921529">
          <w:marLeft w:val="0"/>
          <w:marRight w:val="0"/>
          <w:marTop w:val="0"/>
          <w:marBottom w:val="0"/>
          <w:divBdr>
            <w:top w:val="none" w:sz="0" w:space="0" w:color="auto"/>
            <w:left w:val="none" w:sz="0" w:space="0" w:color="auto"/>
            <w:bottom w:val="none" w:sz="0" w:space="0" w:color="auto"/>
            <w:right w:val="none" w:sz="0" w:space="0" w:color="auto"/>
          </w:divBdr>
        </w:div>
        <w:div w:id="1489859883">
          <w:marLeft w:val="0"/>
          <w:marRight w:val="0"/>
          <w:marTop w:val="0"/>
          <w:marBottom w:val="0"/>
          <w:divBdr>
            <w:top w:val="none" w:sz="0" w:space="0" w:color="auto"/>
            <w:left w:val="none" w:sz="0" w:space="0" w:color="auto"/>
            <w:bottom w:val="none" w:sz="0" w:space="0" w:color="auto"/>
            <w:right w:val="none" w:sz="0" w:space="0" w:color="auto"/>
          </w:divBdr>
        </w:div>
        <w:div w:id="1977949847">
          <w:marLeft w:val="0"/>
          <w:marRight w:val="0"/>
          <w:marTop w:val="0"/>
          <w:marBottom w:val="0"/>
          <w:divBdr>
            <w:top w:val="none" w:sz="0" w:space="0" w:color="auto"/>
            <w:left w:val="none" w:sz="0" w:space="0" w:color="auto"/>
            <w:bottom w:val="none" w:sz="0" w:space="0" w:color="auto"/>
            <w:right w:val="none" w:sz="0" w:space="0" w:color="auto"/>
          </w:divBdr>
        </w:div>
      </w:divsChild>
    </w:div>
    <w:div w:id="562066657">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44510559">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864565504">
      <w:bodyDiv w:val="1"/>
      <w:marLeft w:val="0"/>
      <w:marRight w:val="0"/>
      <w:marTop w:val="0"/>
      <w:marBottom w:val="0"/>
      <w:divBdr>
        <w:top w:val="none" w:sz="0" w:space="0" w:color="auto"/>
        <w:left w:val="none" w:sz="0" w:space="0" w:color="auto"/>
        <w:bottom w:val="none" w:sz="0" w:space="0" w:color="auto"/>
        <w:right w:val="none" w:sz="0" w:space="0" w:color="auto"/>
      </w:divBdr>
      <w:divsChild>
        <w:div w:id="663969698">
          <w:marLeft w:val="0"/>
          <w:marRight w:val="0"/>
          <w:marTop w:val="0"/>
          <w:marBottom w:val="0"/>
          <w:divBdr>
            <w:top w:val="none" w:sz="0" w:space="0" w:color="auto"/>
            <w:left w:val="none" w:sz="0" w:space="0" w:color="auto"/>
            <w:bottom w:val="none" w:sz="0" w:space="0" w:color="auto"/>
            <w:right w:val="none" w:sz="0" w:space="0" w:color="auto"/>
          </w:divBdr>
        </w:div>
        <w:div w:id="321549832">
          <w:marLeft w:val="0"/>
          <w:marRight w:val="0"/>
          <w:marTop w:val="0"/>
          <w:marBottom w:val="0"/>
          <w:divBdr>
            <w:top w:val="none" w:sz="0" w:space="0" w:color="auto"/>
            <w:left w:val="none" w:sz="0" w:space="0" w:color="auto"/>
            <w:bottom w:val="none" w:sz="0" w:space="0" w:color="auto"/>
            <w:right w:val="none" w:sz="0" w:space="0" w:color="auto"/>
          </w:divBdr>
        </w:div>
      </w:divsChild>
    </w:div>
    <w:div w:id="1051199127">
      <w:bodyDiv w:val="1"/>
      <w:marLeft w:val="0"/>
      <w:marRight w:val="0"/>
      <w:marTop w:val="0"/>
      <w:marBottom w:val="0"/>
      <w:divBdr>
        <w:top w:val="none" w:sz="0" w:space="0" w:color="auto"/>
        <w:left w:val="none" w:sz="0" w:space="0" w:color="auto"/>
        <w:bottom w:val="none" w:sz="0" w:space="0" w:color="auto"/>
        <w:right w:val="none" w:sz="0" w:space="0" w:color="auto"/>
      </w:divBdr>
    </w:div>
    <w:div w:id="1102188904">
      <w:bodyDiv w:val="1"/>
      <w:marLeft w:val="0"/>
      <w:marRight w:val="0"/>
      <w:marTop w:val="0"/>
      <w:marBottom w:val="0"/>
      <w:divBdr>
        <w:top w:val="none" w:sz="0" w:space="0" w:color="auto"/>
        <w:left w:val="none" w:sz="0" w:space="0" w:color="auto"/>
        <w:bottom w:val="none" w:sz="0" w:space="0" w:color="auto"/>
        <w:right w:val="none" w:sz="0" w:space="0" w:color="auto"/>
      </w:divBdr>
      <w:divsChild>
        <w:div w:id="1098981623">
          <w:marLeft w:val="0"/>
          <w:marRight w:val="0"/>
          <w:marTop w:val="0"/>
          <w:marBottom w:val="0"/>
          <w:divBdr>
            <w:top w:val="none" w:sz="0" w:space="0" w:color="auto"/>
            <w:left w:val="none" w:sz="0" w:space="0" w:color="auto"/>
            <w:bottom w:val="none" w:sz="0" w:space="0" w:color="auto"/>
            <w:right w:val="none" w:sz="0" w:space="0" w:color="auto"/>
          </w:divBdr>
        </w:div>
        <w:div w:id="582615757">
          <w:marLeft w:val="0"/>
          <w:marRight w:val="0"/>
          <w:marTop w:val="0"/>
          <w:marBottom w:val="0"/>
          <w:divBdr>
            <w:top w:val="none" w:sz="0" w:space="0" w:color="auto"/>
            <w:left w:val="none" w:sz="0" w:space="0" w:color="auto"/>
            <w:bottom w:val="none" w:sz="0" w:space="0" w:color="auto"/>
            <w:right w:val="none" w:sz="0" w:space="0" w:color="auto"/>
          </w:divBdr>
        </w:div>
        <w:div w:id="1542009485">
          <w:marLeft w:val="0"/>
          <w:marRight w:val="0"/>
          <w:marTop w:val="0"/>
          <w:marBottom w:val="0"/>
          <w:divBdr>
            <w:top w:val="none" w:sz="0" w:space="0" w:color="auto"/>
            <w:left w:val="none" w:sz="0" w:space="0" w:color="auto"/>
            <w:bottom w:val="none" w:sz="0" w:space="0" w:color="auto"/>
            <w:right w:val="none" w:sz="0" w:space="0" w:color="auto"/>
          </w:divBdr>
        </w:div>
        <w:div w:id="699476723">
          <w:marLeft w:val="0"/>
          <w:marRight w:val="0"/>
          <w:marTop w:val="0"/>
          <w:marBottom w:val="0"/>
          <w:divBdr>
            <w:top w:val="none" w:sz="0" w:space="0" w:color="auto"/>
            <w:left w:val="none" w:sz="0" w:space="0" w:color="auto"/>
            <w:bottom w:val="none" w:sz="0" w:space="0" w:color="auto"/>
            <w:right w:val="none" w:sz="0" w:space="0" w:color="auto"/>
          </w:divBdr>
        </w:div>
        <w:div w:id="655038210">
          <w:marLeft w:val="0"/>
          <w:marRight w:val="0"/>
          <w:marTop w:val="0"/>
          <w:marBottom w:val="0"/>
          <w:divBdr>
            <w:top w:val="none" w:sz="0" w:space="0" w:color="auto"/>
            <w:left w:val="none" w:sz="0" w:space="0" w:color="auto"/>
            <w:bottom w:val="none" w:sz="0" w:space="0" w:color="auto"/>
            <w:right w:val="none" w:sz="0" w:space="0" w:color="auto"/>
          </w:divBdr>
        </w:div>
      </w:divsChild>
    </w:div>
    <w:div w:id="1113328934">
      <w:bodyDiv w:val="1"/>
      <w:marLeft w:val="0"/>
      <w:marRight w:val="0"/>
      <w:marTop w:val="0"/>
      <w:marBottom w:val="0"/>
      <w:divBdr>
        <w:top w:val="none" w:sz="0" w:space="0" w:color="auto"/>
        <w:left w:val="none" w:sz="0" w:space="0" w:color="auto"/>
        <w:bottom w:val="none" w:sz="0" w:space="0" w:color="auto"/>
        <w:right w:val="none" w:sz="0" w:space="0" w:color="auto"/>
      </w:divBdr>
    </w:div>
    <w:div w:id="1192186942">
      <w:bodyDiv w:val="1"/>
      <w:marLeft w:val="0"/>
      <w:marRight w:val="0"/>
      <w:marTop w:val="0"/>
      <w:marBottom w:val="0"/>
      <w:divBdr>
        <w:top w:val="none" w:sz="0" w:space="0" w:color="auto"/>
        <w:left w:val="none" w:sz="0" w:space="0" w:color="auto"/>
        <w:bottom w:val="none" w:sz="0" w:space="0" w:color="auto"/>
        <w:right w:val="none" w:sz="0" w:space="0" w:color="auto"/>
      </w:divBdr>
    </w:div>
    <w:div w:id="1210220311">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 w:id="1242057928">
      <w:bodyDiv w:val="1"/>
      <w:marLeft w:val="0"/>
      <w:marRight w:val="0"/>
      <w:marTop w:val="0"/>
      <w:marBottom w:val="0"/>
      <w:divBdr>
        <w:top w:val="none" w:sz="0" w:space="0" w:color="auto"/>
        <w:left w:val="none" w:sz="0" w:space="0" w:color="auto"/>
        <w:bottom w:val="none" w:sz="0" w:space="0" w:color="auto"/>
        <w:right w:val="none" w:sz="0" w:space="0" w:color="auto"/>
      </w:divBdr>
    </w:div>
    <w:div w:id="1242135629">
      <w:bodyDiv w:val="1"/>
      <w:marLeft w:val="0"/>
      <w:marRight w:val="0"/>
      <w:marTop w:val="0"/>
      <w:marBottom w:val="0"/>
      <w:divBdr>
        <w:top w:val="none" w:sz="0" w:space="0" w:color="auto"/>
        <w:left w:val="none" w:sz="0" w:space="0" w:color="auto"/>
        <w:bottom w:val="none" w:sz="0" w:space="0" w:color="auto"/>
        <w:right w:val="none" w:sz="0" w:space="0" w:color="auto"/>
      </w:divBdr>
    </w:div>
    <w:div w:id="1317994550">
      <w:bodyDiv w:val="1"/>
      <w:marLeft w:val="0"/>
      <w:marRight w:val="0"/>
      <w:marTop w:val="0"/>
      <w:marBottom w:val="0"/>
      <w:divBdr>
        <w:top w:val="none" w:sz="0" w:space="0" w:color="auto"/>
        <w:left w:val="none" w:sz="0" w:space="0" w:color="auto"/>
        <w:bottom w:val="none" w:sz="0" w:space="0" w:color="auto"/>
        <w:right w:val="none" w:sz="0" w:space="0" w:color="auto"/>
      </w:divBdr>
    </w:div>
    <w:div w:id="1339848280">
      <w:bodyDiv w:val="1"/>
      <w:marLeft w:val="0"/>
      <w:marRight w:val="0"/>
      <w:marTop w:val="0"/>
      <w:marBottom w:val="0"/>
      <w:divBdr>
        <w:top w:val="none" w:sz="0" w:space="0" w:color="auto"/>
        <w:left w:val="none" w:sz="0" w:space="0" w:color="auto"/>
        <w:bottom w:val="none" w:sz="0" w:space="0" w:color="auto"/>
        <w:right w:val="none" w:sz="0" w:space="0" w:color="auto"/>
      </w:divBdr>
      <w:divsChild>
        <w:div w:id="813572098">
          <w:marLeft w:val="0"/>
          <w:marRight w:val="0"/>
          <w:marTop w:val="0"/>
          <w:marBottom w:val="0"/>
          <w:divBdr>
            <w:top w:val="none" w:sz="0" w:space="0" w:color="auto"/>
            <w:left w:val="none" w:sz="0" w:space="0" w:color="auto"/>
            <w:bottom w:val="none" w:sz="0" w:space="0" w:color="auto"/>
            <w:right w:val="none" w:sz="0" w:space="0" w:color="auto"/>
          </w:divBdr>
        </w:div>
        <w:div w:id="895243153">
          <w:marLeft w:val="0"/>
          <w:marRight w:val="0"/>
          <w:marTop w:val="0"/>
          <w:marBottom w:val="0"/>
          <w:divBdr>
            <w:top w:val="none" w:sz="0" w:space="0" w:color="auto"/>
            <w:left w:val="none" w:sz="0" w:space="0" w:color="auto"/>
            <w:bottom w:val="none" w:sz="0" w:space="0" w:color="auto"/>
            <w:right w:val="none" w:sz="0" w:space="0" w:color="auto"/>
          </w:divBdr>
        </w:div>
        <w:div w:id="1641422413">
          <w:marLeft w:val="0"/>
          <w:marRight w:val="0"/>
          <w:marTop w:val="0"/>
          <w:marBottom w:val="0"/>
          <w:divBdr>
            <w:top w:val="none" w:sz="0" w:space="0" w:color="auto"/>
            <w:left w:val="none" w:sz="0" w:space="0" w:color="auto"/>
            <w:bottom w:val="none" w:sz="0" w:space="0" w:color="auto"/>
            <w:right w:val="none" w:sz="0" w:space="0" w:color="auto"/>
          </w:divBdr>
        </w:div>
        <w:div w:id="1492788547">
          <w:marLeft w:val="0"/>
          <w:marRight w:val="0"/>
          <w:marTop w:val="0"/>
          <w:marBottom w:val="0"/>
          <w:divBdr>
            <w:top w:val="none" w:sz="0" w:space="0" w:color="auto"/>
            <w:left w:val="none" w:sz="0" w:space="0" w:color="auto"/>
            <w:bottom w:val="none" w:sz="0" w:space="0" w:color="auto"/>
            <w:right w:val="none" w:sz="0" w:space="0" w:color="auto"/>
          </w:divBdr>
        </w:div>
        <w:div w:id="585461922">
          <w:marLeft w:val="0"/>
          <w:marRight w:val="0"/>
          <w:marTop w:val="0"/>
          <w:marBottom w:val="0"/>
          <w:divBdr>
            <w:top w:val="none" w:sz="0" w:space="0" w:color="auto"/>
            <w:left w:val="none" w:sz="0" w:space="0" w:color="auto"/>
            <w:bottom w:val="none" w:sz="0" w:space="0" w:color="auto"/>
            <w:right w:val="none" w:sz="0" w:space="0" w:color="auto"/>
          </w:divBdr>
        </w:div>
        <w:div w:id="46953168">
          <w:marLeft w:val="0"/>
          <w:marRight w:val="0"/>
          <w:marTop w:val="0"/>
          <w:marBottom w:val="0"/>
          <w:divBdr>
            <w:top w:val="none" w:sz="0" w:space="0" w:color="auto"/>
            <w:left w:val="none" w:sz="0" w:space="0" w:color="auto"/>
            <w:bottom w:val="none" w:sz="0" w:space="0" w:color="auto"/>
            <w:right w:val="none" w:sz="0" w:space="0" w:color="auto"/>
          </w:divBdr>
        </w:div>
        <w:div w:id="1036927381">
          <w:marLeft w:val="0"/>
          <w:marRight w:val="0"/>
          <w:marTop w:val="0"/>
          <w:marBottom w:val="0"/>
          <w:divBdr>
            <w:top w:val="none" w:sz="0" w:space="0" w:color="auto"/>
            <w:left w:val="none" w:sz="0" w:space="0" w:color="auto"/>
            <w:bottom w:val="none" w:sz="0" w:space="0" w:color="auto"/>
            <w:right w:val="none" w:sz="0" w:space="0" w:color="auto"/>
          </w:divBdr>
        </w:div>
        <w:div w:id="1528449583">
          <w:marLeft w:val="0"/>
          <w:marRight w:val="0"/>
          <w:marTop w:val="0"/>
          <w:marBottom w:val="0"/>
          <w:divBdr>
            <w:top w:val="none" w:sz="0" w:space="0" w:color="auto"/>
            <w:left w:val="none" w:sz="0" w:space="0" w:color="auto"/>
            <w:bottom w:val="none" w:sz="0" w:space="0" w:color="auto"/>
            <w:right w:val="none" w:sz="0" w:space="0" w:color="auto"/>
          </w:divBdr>
        </w:div>
        <w:div w:id="2143958695">
          <w:marLeft w:val="0"/>
          <w:marRight w:val="0"/>
          <w:marTop w:val="0"/>
          <w:marBottom w:val="0"/>
          <w:divBdr>
            <w:top w:val="none" w:sz="0" w:space="0" w:color="auto"/>
            <w:left w:val="none" w:sz="0" w:space="0" w:color="auto"/>
            <w:bottom w:val="none" w:sz="0" w:space="0" w:color="auto"/>
            <w:right w:val="none" w:sz="0" w:space="0" w:color="auto"/>
          </w:divBdr>
        </w:div>
      </w:divsChild>
    </w:div>
    <w:div w:id="1417824613">
      <w:bodyDiv w:val="1"/>
      <w:marLeft w:val="0"/>
      <w:marRight w:val="0"/>
      <w:marTop w:val="0"/>
      <w:marBottom w:val="0"/>
      <w:divBdr>
        <w:top w:val="none" w:sz="0" w:space="0" w:color="auto"/>
        <w:left w:val="none" w:sz="0" w:space="0" w:color="auto"/>
        <w:bottom w:val="none" w:sz="0" w:space="0" w:color="auto"/>
        <w:right w:val="none" w:sz="0" w:space="0" w:color="auto"/>
      </w:divBdr>
    </w:div>
    <w:div w:id="1467314086">
      <w:bodyDiv w:val="1"/>
      <w:marLeft w:val="0"/>
      <w:marRight w:val="0"/>
      <w:marTop w:val="0"/>
      <w:marBottom w:val="0"/>
      <w:divBdr>
        <w:top w:val="none" w:sz="0" w:space="0" w:color="auto"/>
        <w:left w:val="none" w:sz="0" w:space="0" w:color="auto"/>
        <w:bottom w:val="none" w:sz="0" w:space="0" w:color="auto"/>
        <w:right w:val="none" w:sz="0" w:space="0" w:color="auto"/>
      </w:divBdr>
      <w:divsChild>
        <w:div w:id="1629966208">
          <w:marLeft w:val="0"/>
          <w:marRight w:val="0"/>
          <w:marTop w:val="0"/>
          <w:marBottom w:val="0"/>
          <w:divBdr>
            <w:top w:val="none" w:sz="0" w:space="0" w:color="auto"/>
            <w:left w:val="none" w:sz="0" w:space="0" w:color="auto"/>
            <w:bottom w:val="none" w:sz="0" w:space="0" w:color="auto"/>
            <w:right w:val="none" w:sz="0" w:space="0" w:color="auto"/>
          </w:divBdr>
        </w:div>
        <w:div w:id="172037730">
          <w:marLeft w:val="0"/>
          <w:marRight w:val="0"/>
          <w:marTop w:val="0"/>
          <w:marBottom w:val="0"/>
          <w:divBdr>
            <w:top w:val="none" w:sz="0" w:space="0" w:color="auto"/>
            <w:left w:val="none" w:sz="0" w:space="0" w:color="auto"/>
            <w:bottom w:val="none" w:sz="0" w:space="0" w:color="auto"/>
            <w:right w:val="none" w:sz="0" w:space="0" w:color="auto"/>
          </w:divBdr>
        </w:div>
        <w:div w:id="57677007">
          <w:marLeft w:val="0"/>
          <w:marRight w:val="0"/>
          <w:marTop w:val="0"/>
          <w:marBottom w:val="0"/>
          <w:divBdr>
            <w:top w:val="none" w:sz="0" w:space="0" w:color="auto"/>
            <w:left w:val="none" w:sz="0" w:space="0" w:color="auto"/>
            <w:bottom w:val="none" w:sz="0" w:space="0" w:color="auto"/>
            <w:right w:val="none" w:sz="0" w:space="0" w:color="auto"/>
          </w:divBdr>
        </w:div>
        <w:div w:id="679620360">
          <w:marLeft w:val="0"/>
          <w:marRight w:val="0"/>
          <w:marTop w:val="0"/>
          <w:marBottom w:val="0"/>
          <w:divBdr>
            <w:top w:val="none" w:sz="0" w:space="0" w:color="auto"/>
            <w:left w:val="none" w:sz="0" w:space="0" w:color="auto"/>
            <w:bottom w:val="none" w:sz="0" w:space="0" w:color="auto"/>
            <w:right w:val="none" w:sz="0" w:space="0" w:color="auto"/>
          </w:divBdr>
        </w:div>
        <w:div w:id="2093312720">
          <w:marLeft w:val="0"/>
          <w:marRight w:val="0"/>
          <w:marTop w:val="0"/>
          <w:marBottom w:val="0"/>
          <w:divBdr>
            <w:top w:val="none" w:sz="0" w:space="0" w:color="auto"/>
            <w:left w:val="none" w:sz="0" w:space="0" w:color="auto"/>
            <w:bottom w:val="none" w:sz="0" w:space="0" w:color="auto"/>
            <w:right w:val="none" w:sz="0" w:space="0" w:color="auto"/>
          </w:divBdr>
        </w:div>
        <w:div w:id="924343045">
          <w:marLeft w:val="0"/>
          <w:marRight w:val="0"/>
          <w:marTop w:val="0"/>
          <w:marBottom w:val="0"/>
          <w:divBdr>
            <w:top w:val="none" w:sz="0" w:space="0" w:color="auto"/>
            <w:left w:val="none" w:sz="0" w:space="0" w:color="auto"/>
            <w:bottom w:val="none" w:sz="0" w:space="0" w:color="auto"/>
            <w:right w:val="none" w:sz="0" w:space="0" w:color="auto"/>
          </w:divBdr>
        </w:div>
        <w:div w:id="383675986">
          <w:marLeft w:val="0"/>
          <w:marRight w:val="0"/>
          <w:marTop w:val="0"/>
          <w:marBottom w:val="0"/>
          <w:divBdr>
            <w:top w:val="none" w:sz="0" w:space="0" w:color="auto"/>
            <w:left w:val="none" w:sz="0" w:space="0" w:color="auto"/>
            <w:bottom w:val="none" w:sz="0" w:space="0" w:color="auto"/>
            <w:right w:val="none" w:sz="0" w:space="0" w:color="auto"/>
          </w:divBdr>
        </w:div>
      </w:divsChild>
    </w:div>
    <w:div w:id="1553885960">
      <w:bodyDiv w:val="1"/>
      <w:marLeft w:val="0"/>
      <w:marRight w:val="0"/>
      <w:marTop w:val="0"/>
      <w:marBottom w:val="0"/>
      <w:divBdr>
        <w:top w:val="none" w:sz="0" w:space="0" w:color="auto"/>
        <w:left w:val="none" w:sz="0" w:space="0" w:color="auto"/>
        <w:bottom w:val="none" w:sz="0" w:space="0" w:color="auto"/>
        <w:right w:val="none" w:sz="0" w:space="0" w:color="auto"/>
      </w:divBdr>
    </w:div>
    <w:div w:id="1582444837">
      <w:bodyDiv w:val="1"/>
      <w:marLeft w:val="0"/>
      <w:marRight w:val="0"/>
      <w:marTop w:val="0"/>
      <w:marBottom w:val="0"/>
      <w:divBdr>
        <w:top w:val="none" w:sz="0" w:space="0" w:color="auto"/>
        <w:left w:val="none" w:sz="0" w:space="0" w:color="auto"/>
        <w:bottom w:val="none" w:sz="0" w:space="0" w:color="auto"/>
        <w:right w:val="none" w:sz="0" w:space="0" w:color="auto"/>
      </w:divBdr>
    </w:div>
    <w:div w:id="1645893812">
      <w:bodyDiv w:val="1"/>
      <w:marLeft w:val="0"/>
      <w:marRight w:val="0"/>
      <w:marTop w:val="0"/>
      <w:marBottom w:val="0"/>
      <w:divBdr>
        <w:top w:val="none" w:sz="0" w:space="0" w:color="auto"/>
        <w:left w:val="none" w:sz="0" w:space="0" w:color="auto"/>
        <w:bottom w:val="none" w:sz="0" w:space="0" w:color="auto"/>
        <w:right w:val="none" w:sz="0" w:space="0" w:color="auto"/>
      </w:divBdr>
    </w:div>
    <w:div w:id="1781532481">
      <w:bodyDiv w:val="1"/>
      <w:marLeft w:val="0"/>
      <w:marRight w:val="0"/>
      <w:marTop w:val="0"/>
      <w:marBottom w:val="0"/>
      <w:divBdr>
        <w:top w:val="none" w:sz="0" w:space="0" w:color="auto"/>
        <w:left w:val="none" w:sz="0" w:space="0" w:color="auto"/>
        <w:bottom w:val="none" w:sz="0" w:space="0" w:color="auto"/>
        <w:right w:val="none" w:sz="0" w:space="0" w:color="auto"/>
      </w:divBdr>
    </w:div>
    <w:div w:id="1925911443">
      <w:bodyDiv w:val="1"/>
      <w:marLeft w:val="0"/>
      <w:marRight w:val="0"/>
      <w:marTop w:val="0"/>
      <w:marBottom w:val="0"/>
      <w:divBdr>
        <w:top w:val="none" w:sz="0" w:space="0" w:color="auto"/>
        <w:left w:val="none" w:sz="0" w:space="0" w:color="auto"/>
        <w:bottom w:val="none" w:sz="0" w:space="0" w:color="auto"/>
        <w:right w:val="none" w:sz="0" w:space="0" w:color="auto"/>
      </w:divBdr>
      <w:divsChild>
        <w:div w:id="989792055">
          <w:marLeft w:val="0"/>
          <w:marRight w:val="0"/>
          <w:marTop w:val="0"/>
          <w:marBottom w:val="0"/>
          <w:divBdr>
            <w:top w:val="none" w:sz="0" w:space="0" w:color="auto"/>
            <w:left w:val="none" w:sz="0" w:space="0" w:color="auto"/>
            <w:bottom w:val="none" w:sz="0" w:space="0" w:color="auto"/>
            <w:right w:val="none" w:sz="0" w:space="0" w:color="auto"/>
          </w:divBdr>
        </w:div>
        <w:div w:id="950403458">
          <w:marLeft w:val="0"/>
          <w:marRight w:val="0"/>
          <w:marTop w:val="0"/>
          <w:marBottom w:val="0"/>
          <w:divBdr>
            <w:top w:val="none" w:sz="0" w:space="0" w:color="auto"/>
            <w:left w:val="none" w:sz="0" w:space="0" w:color="auto"/>
            <w:bottom w:val="none" w:sz="0" w:space="0" w:color="auto"/>
            <w:right w:val="none" w:sz="0" w:space="0" w:color="auto"/>
          </w:divBdr>
        </w:div>
        <w:div w:id="1938322399">
          <w:marLeft w:val="0"/>
          <w:marRight w:val="0"/>
          <w:marTop w:val="0"/>
          <w:marBottom w:val="0"/>
          <w:divBdr>
            <w:top w:val="none" w:sz="0" w:space="0" w:color="auto"/>
            <w:left w:val="none" w:sz="0" w:space="0" w:color="auto"/>
            <w:bottom w:val="none" w:sz="0" w:space="0" w:color="auto"/>
            <w:right w:val="none" w:sz="0" w:space="0" w:color="auto"/>
          </w:divBdr>
        </w:div>
        <w:div w:id="900680583">
          <w:marLeft w:val="0"/>
          <w:marRight w:val="0"/>
          <w:marTop w:val="0"/>
          <w:marBottom w:val="0"/>
          <w:divBdr>
            <w:top w:val="none" w:sz="0" w:space="0" w:color="auto"/>
            <w:left w:val="none" w:sz="0" w:space="0" w:color="auto"/>
            <w:bottom w:val="none" w:sz="0" w:space="0" w:color="auto"/>
            <w:right w:val="none" w:sz="0" w:space="0" w:color="auto"/>
          </w:divBdr>
        </w:div>
        <w:div w:id="779182023">
          <w:marLeft w:val="0"/>
          <w:marRight w:val="0"/>
          <w:marTop w:val="0"/>
          <w:marBottom w:val="0"/>
          <w:divBdr>
            <w:top w:val="none" w:sz="0" w:space="0" w:color="auto"/>
            <w:left w:val="none" w:sz="0" w:space="0" w:color="auto"/>
            <w:bottom w:val="none" w:sz="0" w:space="0" w:color="auto"/>
            <w:right w:val="none" w:sz="0" w:space="0" w:color="auto"/>
          </w:divBdr>
        </w:div>
      </w:divsChild>
    </w:div>
    <w:div w:id="1970160093">
      <w:bodyDiv w:val="1"/>
      <w:marLeft w:val="0"/>
      <w:marRight w:val="0"/>
      <w:marTop w:val="0"/>
      <w:marBottom w:val="0"/>
      <w:divBdr>
        <w:top w:val="none" w:sz="0" w:space="0" w:color="auto"/>
        <w:left w:val="none" w:sz="0" w:space="0" w:color="auto"/>
        <w:bottom w:val="none" w:sz="0" w:space="0" w:color="auto"/>
        <w:right w:val="none" w:sz="0" w:space="0" w:color="auto"/>
      </w:divBdr>
    </w:div>
    <w:div w:id="2020347287">
      <w:bodyDiv w:val="1"/>
      <w:marLeft w:val="0"/>
      <w:marRight w:val="0"/>
      <w:marTop w:val="0"/>
      <w:marBottom w:val="0"/>
      <w:divBdr>
        <w:top w:val="none" w:sz="0" w:space="0" w:color="auto"/>
        <w:left w:val="none" w:sz="0" w:space="0" w:color="auto"/>
        <w:bottom w:val="none" w:sz="0" w:space="0" w:color="auto"/>
        <w:right w:val="none" w:sz="0" w:space="0" w:color="auto"/>
      </w:divBdr>
      <w:divsChild>
        <w:div w:id="1500581563">
          <w:marLeft w:val="0"/>
          <w:marRight w:val="0"/>
          <w:marTop w:val="0"/>
          <w:marBottom w:val="0"/>
          <w:divBdr>
            <w:top w:val="none" w:sz="0" w:space="0" w:color="auto"/>
            <w:left w:val="none" w:sz="0" w:space="0" w:color="auto"/>
            <w:bottom w:val="none" w:sz="0" w:space="0" w:color="auto"/>
            <w:right w:val="none" w:sz="0" w:space="0" w:color="auto"/>
          </w:divBdr>
        </w:div>
        <w:div w:id="204951666">
          <w:marLeft w:val="0"/>
          <w:marRight w:val="0"/>
          <w:marTop w:val="0"/>
          <w:marBottom w:val="0"/>
          <w:divBdr>
            <w:top w:val="none" w:sz="0" w:space="0" w:color="auto"/>
            <w:left w:val="none" w:sz="0" w:space="0" w:color="auto"/>
            <w:bottom w:val="none" w:sz="0" w:space="0" w:color="auto"/>
            <w:right w:val="none" w:sz="0" w:space="0" w:color="auto"/>
          </w:divBdr>
        </w:div>
        <w:div w:id="620452006">
          <w:marLeft w:val="0"/>
          <w:marRight w:val="0"/>
          <w:marTop w:val="0"/>
          <w:marBottom w:val="0"/>
          <w:divBdr>
            <w:top w:val="none" w:sz="0" w:space="0" w:color="auto"/>
            <w:left w:val="none" w:sz="0" w:space="0" w:color="auto"/>
            <w:bottom w:val="none" w:sz="0" w:space="0" w:color="auto"/>
            <w:right w:val="none" w:sz="0" w:space="0" w:color="auto"/>
          </w:divBdr>
        </w:div>
        <w:div w:id="759181797">
          <w:marLeft w:val="0"/>
          <w:marRight w:val="0"/>
          <w:marTop w:val="0"/>
          <w:marBottom w:val="0"/>
          <w:divBdr>
            <w:top w:val="none" w:sz="0" w:space="0" w:color="auto"/>
            <w:left w:val="none" w:sz="0" w:space="0" w:color="auto"/>
            <w:bottom w:val="none" w:sz="0" w:space="0" w:color="auto"/>
            <w:right w:val="none" w:sz="0" w:space="0" w:color="auto"/>
          </w:divBdr>
        </w:div>
        <w:div w:id="1525820646">
          <w:marLeft w:val="0"/>
          <w:marRight w:val="0"/>
          <w:marTop w:val="0"/>
          <w:marBottom w:val="0"/>
          <w:divBdr>
            <w:top w:val="none" w:sz="0" w:space="0" w:color="auto"/>
            <w:left w:val="none" w:sz="0" w:space="0" w:color="auto"/>
            <w:bottom w:val="none" w:sz="0" w:space="0" w:color="auto"/>
            <w:right w:val="none" w:sz="0" w:space="0" w:color="auto"/>
          </w:divBdr>
        </w:div>
        <w:div w:id="1549218996">
          <w:marLeft w:val="0"/>
          <w:marRight w:val="0"/>
          <w:marTop w:val="0"/>
          <w:marBottom w:val="0"/>
          <w:divBdr>
            <w:top w:val="none" w:sz="0" w:space="0" w:color="auto"/>
            <w:left w:val="none" w:sz="0" w:space="0" w:color="auto"/>
            <w:bottom w:val="none" w:sz="0" w:space="0" w:color="auto"/>
            <w:right w:val="none" w:sz="0" w:space="0" w:color="auto"/>
          </w:divBdr>
        </w:div>
      </w:divsChild>
    </w:div>
    <w:div w:id="2029676316">
      <w:bodyDiv w:val="1"/>
      <w:marLeft w:val="0"/>
      <w:marRight w:val="0"/>
      <w:marTop w:val="0"/>
      <w:marBottom w:val="0"/>
      <w:divBdr>
        <w:top w:val="none" w:sz="0" w:space="0" w:color="auto"/>
        <w:left w:val="none" w:sz="0" w:space="0" w:color="auto"/>
        <w:bottom w:val="none" w:sz="0" w:space="0" w:color="auto"/>
        <w:right w:val="none" w:sz="0" w:space="0" w:color="auto"/>
      </w:divBdr>
    </w:div>
    <w:div w:id="21243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fcw.ac.uk/wp-content/uploads/2022/06/W22-19HE-Fee-and-access-plan-application-guidance-Englis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2158BDC464C6D9713DDCF4691E603"/>
        <w:category>
          <w:name w:val="General"/>
          <w:gallery w:val="placeholder"/>
        </w:category>
        <w:types>
          <w:type w:val="bbPlcHdr"/>
        </w:types>
        <w:behaviors>
          <w:behavior w:val="content"/>
        </w:behaviors>
        <w:guid w:val="{8D2C204D-3C69-4DF8-81EB-7AD3A6EAD194}"/>
      </w:docPartPr>
      <w:docPartBody>
        <w:p w:rsidR="009A0E1E" w:rsidRDefault="00C07828" w:rsidP="00C07828">
          <w:pPr>
            <w:pStyle w:val="D8E2158BDC464C6D9713DDCF4691E603"/>
          </w:pPr>
          <w:r>
            <w:rPr>
              <w:color w:val="2F5496" w:themeColor="accent1" w:themeShade="BF"/>
              <w:sz w:val="24"/>
              <w:szCs w:val="24"/>
            </w:rPr>
            <w:t>[Company name]</w:t>
          </w:r>
        </w:p>
      </w:docPartBody>
    </w:docPart>
    <w:docPart>
      <w:docPartPr>
        <w:name w:val="9140AFD5FCA14F519547AF4533B5F320"/>
        <w:category>
          <w:name w:val="General"/>
          <w:gallery w:val="placeholder"/>
        </w:category>
        <w:types>
          <w:type w:val="bbPlcHdr"/>
        </w:types>
        <w:behaviors>
          <w:behavior w:val="content"/>
        </w:behaviors>
        <w:guid w:val="{CF4DE03D-63CA-4AA0-B534-21B07986E9B7}"/>
      </w:docPartPr>
      <w:docPartBody>
        <w:p w:rsidR="009A0E1E" w:rsidRDefault="00C07828" w:rsidP="00C07828">
          <w:pPr>
            <w:pStyle w:val="9140AFD5FCA14F519547AF4533B5F320"/>
          </w:pPr>
          <w:r>
            <w:rPr>
              <w:color w:val="2F5496" w:themeColor="accent1" w:themeShade="BF"/>
              <w:sz w:val="24"/>
              <w:szCs w:val="24"/>
            </w:rPr>
            <w:t>[Document subtitle]</w:t>
          </w:r>
        </w:p>
      </w:docPartBody>
    </w:docPart>
    <w:docPart>
      <w:docPartPr>
        <w:name w:val="B459B88693E847ED958F8D23AFAE80B7"/>
        <w:category>
          <w:name w:val="General"/>
          <w:gallery w:val="placeholder"/>
        </w:category>
        <w:types>
          <w:type w:val="bbPlcHdr"/>
        </w:types>
        <w:behaviors>
          <w:behavior w:val="content"/>
        </w:behaviors>
        <w:guid w:val="{3DCBDCD1-3472-44BF-A0CA-9B6F0DD31099}"/>
      </w:docPartPr>
      <w:docPartBody>
        <w:p w:rsidR="009A0E1E" w:rsidRDefault="00C07828" w:rsidP="00C07828">
          <w:pPr>
            <w:pStyle w:val="B459B88693E847ED958F8D23AFAE80B7"/>
          </w:pPr>
          <w:r>
            <w:rPr>
              <w:color w:val="4472C4" w:themeColor="accent1"/>
              <w:sz w:val="28"/>
              <w:szCs w:val="28"/>
            </w:rPr>
            <w:t>[Author name]</w:t>
          </w:r>
        </w:p>
      </w:docPartBody>
    </w:docPart>
    <w:docPart>
      <w:docPartPr>
        <w:name w:val="0DBCB6B372C4BA4287779DA2ED00EF55"/>
        <w:category>
          <w:name w:val="General"/>
          <w:gallery w:val="placeholder"/>
        </w:category>
        <w:types>
          <w:type w:val="bbPlcHdr"/>
        </w:types>
        <w:behaviors>
          <w:behavior w:val="content"/>
        </w:behaviors>
        <w:guid w:val="{C7864B06-8013-8348-A135-EEBECE835FA0}"/>
      </w:docPartPr>
      <w:docPartBody>
        <w:p w:rsidR="009F0D7B" w:rsidRDefault="00C07828">
          <w:pPr>
            <w:pStyle w:val="0DBCB6B372C4BA4287779DA2ED00EF55"/>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ltis">
    <w:altName w:val="Calibri"/>
    <w:panose1 w:val="020B0604020202020204"/>
    <w:charset w:val="00"/>
    <w:family w:val="swiss"/>
    <w:notTrueType/>
    <w:pitch w:val="variable"/>
    <w:sig w:usb0="A00000BF" w:usb1="4000647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28"/>
    <w:rsid w:val="002F70BA"/>
    <w:rsid w:val="00363952"/>
    <w:rsid w:val="003D73AB"/>
    <w:rsid w:val="00474157"/>
    <w:rsid w:val="004C0117"/>
    <w:rsid w:val="004D5FDE"/>
    <w:rsid w:val="005670B8"/>
    <w:rsid w:val="005F7126"/>
    <w:rsid w:val="006F6C25"/>
    <w:rsid w:val="007067EC"/>
    <w:rsid w:val="00786C14"/>
    <w:rsid w:val="009A0E1E"/>
    <w:rsid w:val="009F0D7B"/>
    <w:rsid w:val="009F2DFE"/>
    <w:rsid w:val="00A11F79"/>
    <w:rsid w:val="00AE7168"/>
    <w:rsid w:val="00B12F52"/>
    <w:rsid w:val="00B7371C"/>
    <w:rsid w:val="00BC5C25"/>
    <w:rsid w:val="00BE0683"/>
    <w:rsid w:val="00BE5DA7"/>
    <w:rsid w:val="00C07828"/>
    <w:rsid w:val="00D03C0F"/>
    <w:rsid w:val="00D05EBB"/>
    <w:rsid w:val="00D275B8"/>
    <w:rsid w:val="00D91019"/>
    <w:rsid w:val="00DE74F0"/>
    <w:rsid w:val="00E0102B"/>
    <w:rsid w:val="00E24458"/>
    <w:rsid w:val="00E65C55"/>
    <w:rsid w:val="00F55DD4"/>
    <w:rsid w:val="00FF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2158BDC464C6D9713DDCF4691E603">
    <w:name w:val="D8E2158BDC464C6D9713DDCF4691E603"/>
    <w:rsid w:val="00C07828"/>
  </w:style>
  <w:style w:type="paragraph" w:customStyle="1" w:styleId="9140AFD5FCA14F519547AF4533B5F320">
    <w:name w:val="9140AFD5FCA14F519547AF4533B5F320"/>
    <w:rsid w:val="00C07828"/>
  </w:style>
  <w:style w:type="paragraph" w:customStyle="1" w:styleId="B459B88693E847ED958F8D23AFAE80B7">
    <w:name w:val="B459B88693E847ED958F8D23AFAE80B7"/>
    <w:rsid w:val="00C07828"/>
  </w:style>
  <w:style w:type="paragraph" w:customStyle="1" w:styleId="0DBCB6B372C4BA4287779DA2ED00EF55">
    <w:name w:val="0DBCB6B372C4BA4287779DA2ED00EF55"/>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3CB7B246-EBF6-4A2F-8C45-BC51AEF9E40A}"/>
</file>

<file path=customXml/itemProps4.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customXml/itemProps5.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4b1b1af5-7746-4d27-9657-94481b92788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2910</Words>
  <Characters>16591</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Strategic Planning &amp; Performance Committee    Annual Report</vt:lpstr>
    </vt:vector>
  </TitlesOfParts>
  <Company>Cardiff Metropolitan University</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Planning and Performance Committee    Annual Report</dc:title>
  <dc:subject>Academic Year 2022/2023</dc:subject>
  <dc:creator>Taylor, John</dc:creator>
  <cp:keywords/>
  <dc:description/>
  <cp:lastModifiedBy>Voisin, Emily</cp:lastModifiedBy>
  <cp:revision>3</cp:revision>
  <dcterms:created xsi:type="dcterms:W3CDTF">2023-12-04T15:57:00Z</dcterms:created>
  <dcterms:modified xsi:type="dcterms:W3CDTF">2024-02-26T09:18:00Z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23000</vt:r8>
  </property>
  <property fmtid="{D5CDD505-2E9C-101B-9397-08002B2CF9AE}" pid="4" name="xd_Signature">
    <vt:bool>false</vt:bool>
  </property>
  <property fmtid="{D5CDD505-2E9C-101B-9397-08002B2CF9AE}" pid="5" name="SharedWithUsers">
    <vt:lpwstr>57;#Taylor, John;#19;#Lane, Gregory;#601;#Potts, Emma</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ies>
</file>