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335DF" w14:textId="77777777" w:rsidR="00C76BDD" w:rsidRPr="00C76BDD" w:rsidRDefault="00C76BDD" w:rsidP="00554882">
      <w:pPr>
        <w:spacing w:after="0" w:line="240" w:lineRule="auto"/>
        <w:jc w:val="both"/>
        <w:textAlignment w:val="baseline"/>
        <w:rPr>
          <w:rFonts w:ascii="Segoe UI" w:eastAsia="Times New Roman" w:hAnsi="Segoe UI" w:cs="Segoe UI"/>
          <w:b/>
          <w:bCs/>
          <w:color w:val="0C202C"/>
          <w:kern w:val="0"/>
          <w:sz w:val="18"/>
          <w:szCs w:val="18"/>
          <w:lang w:eastAsia="en-GB"/>
          <w14:ligatures w14:val="none"/>
        </w:rPr>
      </w:pPr>
      <w:r w:rsidRPr="00C76BDD">
        <w:rPr>
          <w:rFonts w:ascii="Arial" w:eastAsia="Times New Roman" w:hAnsi="Arial" w:cs="Arial"/>
          <w:b/>
          <w:bCs/>
          <w:kern w:val="0"/>
          <w:sz w:val="40"/>
          <w:szCs w:val="40"/>
          <w:lang w:eastAsia="en-GB"/>
          <w14:ligatures w14:val="none"/>
        </w:rPr>
        <w:t>Report from Remuneration Committee </w:t>
      </w:r>
    </w:p>
    <w:p w14:paraId="47068F84" w14:textId="77777777" w:rsidR="00C76BDD" w:rsidRPr="00C76BDD" w:rsidRDefault="00C76BDD" w:rsidP="00C76BDD">
      <w:pPr>
        <w:spacing w:after="0" w:line="240" w:lineRule="auto"/>
        <w:jc w:val="both"/>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kern w:val="0"/>
          <w:sz w:val="20"/>
          <w:szCs w:val="20"/>
          <w:lang w:eastAsia="en-GB"/>
          <w14:ligatures w14:val="none"/>
        </w:rPr>
        <w:t> </w:t>
      </w:r>
    </w:p>
    <w:p w14:paraId="61BC9D2F" w14:textId="77777777" w:rsidR="00C76BDD" w:rsidRDefault="00C76BDD" w:rsidP="00C76BDD">
      <w:pPr>
        <w:spacing w:after="0" w:line="240" w:lineRule="auto"/>
        <w:jc w:val="both"/>
        <w:textAlignment w:val="baseline"/>
        <w:rPr>
          <w:rFonts w:ascii="Arial" w:eastAsia="Times New Roman" w:hAnsi="Arial" w:cs="Arial"/>
          <w:b/>
          <w:bCs/>
          <w:kern w:val="0"/>
          <w:sz w:val="24"/>
          <w:szCs w:val="24"/>
          <w:lang w:eastAsia="en-GB"/>
          <w14:ligatures w14:val="none"/>
        </w:rPr>
      </w:pPr>
      <w:r w:rsidRPr="00770DEF">
        <w:rPr>
          <w:rFonts w:ascii="Arial" w:eastAsia="Times New Roman" w:hAnsi="Arial" w:cs="Arial"/>
          <w:b/>
          <w:bCs/>
          <w:kern w:val="0"/>
          <w:sz w:val="24"/>
          <w:szCs w:val="24"/>
          <w:lang w:eastAsia="en-GB"/>
          <w14:ligatures w14:val="none"/>
        </w:rPr>
        <w:t>Introduction </w:t>
      </w:r>
    </w:p>
    <w:p w14:paraId="2ACA6C0E" w14:textId="77777777" w:rsidR="00770DEF" w:rsidRPr="00770DEF" w:rsidRDefault="00770DEF" w:rsidP="00C76BDD">
      <w:pPr>
        <w:spacing w:after="0" w:line="240" w:lineRule="auto"/>
        <w:jc w:val="both"/>
        <w:textAlignment w:val="baseline"/>
        <w:rPr>
          <w:rFonts w:ascii="Arial" w:eastAsia="Times New Roman" w:hAnsi="Arial" w:cs="Arial"/>
          <w:b/>
          <w:bCs/>
          <w:color w:val="002D56"/>
          <w:kern w:val="0"/>
          <w:sz w:val="24"/>
          <w:szCs w:val="24"/>
          <w:lang w:eastAsia="en-GB"/>
          <w14:ligatures w14:val="none"/>
        </w:rPr>
      </w:pPr>
    </w:p>
    <w:p w14:paraId="454F161E" w14:textId="77777777" w:rsidR="00770DEF"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The Remuneration Committee is responsible for determining the Reward strategy of the University and for setting the remuneration and the terms and conditions of the Vice-Chancellor and other senior members of staff.  </w:t>
      </w:r>
    </w:p>
    <w:p w14:paraId="1BE6F2F0" w14:textId="32A028EF" w:rsidR="00C76BDD" w:rsidRPr="00770DEF" w:rsidRDefault="00C76BDD" w:rsidP="00C76BDD">
      <w:pPr>
        <w:spacing w:after="0" w:line="240" w:lineRule="auto"/>
        <w:jc w:val="both"/>
        <w:textAlignment w:val="baseline"/>
        <w:rPr>
          <w:rFonts w:ascii="Arial" w:eastAsia="Times New Roman" w:hAnsi="Arial" w:cs="Arial"/>
          <w:color w:val="002D56"/>
          <w:kern w:val="0"/>
          <w:sz w:val="24"/>
          <w:szCs w:val="24"/>
          <w:lang w:eastAsia="en-GB"/>
          <w14:ligatures w14:val="none"/>
        </w:rPr>
      </w:pPr>
      <w:r w:rsidRPr="00770DEF">
        <w:rPr>
          <w:rFonts w:ascii="Arial" w:eastAsia="Times New Roman" w:hAnsi="Arial" w:cs="Arial"/>
          <w:kern w:val="0"/>
          <w:sz w:val="24"/>
          <w:szCs w:val="24"/>
          <w:lang w:eastAsia="en-GB"/>
          <w14:ligatures w14:val="none"/>
        </w:rPr>
        <w:t> </w:t>
      </w:r>
    </w:p>
    <w:p w14:paraId="06029305" w14:textId="77777777" w:rsidR="00C76BDD"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 xml:space="preserve">The Remuneration Committee comprises independent lay members of the Board of Governors who possess relevant knowledge and expertise.  The Vice-Chancellor and Director of People and Culture </w:t>
      </w:r>
      <w:proofErr w:type="gramStart"/>
      <w:r w:rsidRPr="00770DEF">
        <w:rPr>
          <w:rFonts w:ascii="Arial" w:eastAsia="Times New Roman" w:hAnsi="Arial" w:cs="Arial"/>
          <w:kern w:val="0"/>
          <w:sz w:val="24"/>
          <w:szCs w:val="24"/>
          <w:lang w:eastAsia="en-GB"/>
          <w14:ligatures w14:val="none"/>
        </w:rPr>
        <w:t>are in attendance at</w:t>
      </w:r>
      <w:proofErr w:type="gramEnd"/>
      <w:r w:rsidRPr="00770DEF">
        <w:rPr>
          <w:rFonts w:ascii="Arial" w:eastAsia="Times New Roman" w:hAnsi="Arial" w:cs="Arial"/>
          <w:kern w:val="0"/>
          <w:sz w:val="24"/>
          <w:szCs w:val="24"/>
          <w:lang w:eastAsia="en-GB"/>
          <w14:ligatures w14:val="none"/>
        </w:rPr>
        <w:t xml:space="preserve"> Remuneration Committee meetings, but the Vice-Chancellor is not in attendance for and does not play a part in the discussions and decisions of their own remuneration. Furthermore, no member of staff is present for the discussion of their own remuneration. </w:t>
      </w:r>
    </w:p>
    <w:p w14:paraId="39753E02" w14:textId="77777777" w:rsidR="00770DEF" w:rsidRPr="00770DEF" w:rsidRDefault="00770DEF" w:rsidP="00C76BDD">
      <w:pPr>
        <w:spacing w:after="0" w:line="240" w:lineRule="auto"/>
        <w:jc w:val="both"/>
        <w:textAlignment w:val="baseline"/>
        <w:rPr>
          <w:rFonts w:ascii="Arial" w:eastAsia="Times New Roman" w:hAnsi="Arial" w:cs="Arial"/>
          <w:color w:val="002D56"/>
          <w:kern w:val="0"/>
          <w:sz w:val="24"/>
          <w:szCs w:val="24"/>
          <w:lang w:eastAsia="en-GB"/>
          <w14:ligatures w14:val="none"/>
        </w:rPr>
      </w:pPr>
    </w:p>
    <w:p w14:paraId="2BCED247" w14:textId="77777777" w:rsidR="00C76BDD"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The Remuneration Committee takes account of affordability and comparative information on the remuneration, benefits, and conditions of employment of the Higher Education sector, and wider where appropriate. </w:t>
      </w:r>
    </w:p>
    <w:p w14:paraId="503E89E6" w14:textId="77777777" w:rsidR="00770DEF" w:rsidRPr="00770DEF" w:rsidRDefault="00770DEF" w:rsidP="00C76BDD">
      <w:pPr>
        <w:spacing w:after="0" w:line="240" w:lineRule="auto"/>
        <w:jc w:val="both"/>
        <w:textAlignment w:val="baseline"/>
        <w:rPr>
          <w:rFonts w:ascii="Arial" w:eastAsia="Times New Roman" w:hAnsi="Arial" w:cs="Arial"/>
          <w:color w:val="002D56"/>
          <w:kern w:val="0"/>
          <w:sz w:val="24"/>
          <w:szCs w:val="24"/>
          <w:lang w:eastAsia="en-GB"/>
          <w14:ligatures w14:val="none"/>
        </w:rPr>
      </w:pPr>
    </w:p>
    <w:p w14:paraId="3865AEC2" w14:textId="77777777" w:rsidR="00C76BDD"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In determining the remuneration awarded, the Remuneration Committee considers the University’s approach taken to recognising performance for all roles in scope and refers to sector benchmarking information provided from the Universities and Colleges Employers Association (UCEA) Senior Salary Survey. </w:t>
      </w:r>
    </w:p>
    <w:p w14:paraId="66291FFF" w14:textId="77777777" w:rsidR="00770DEF" w:rsidRPr="00770DEF" w:rsidRDefault="00770DEF" w:rsidP="00C76BDD">
      <w:pPr>
        <w:spacing w:after="0" w:line="240" w:lineRule="auto"/>
        <w:jc w:val="both"/>
        <w:textAlignment w:val="baseline"/>
        <w:rPr>
          <w:rFonts w:ascii="Arial" w:eastAsia="Times New Roman" w:hAnsi="Arial" w:cs="Arial"/>
          <w:color w:val="002D56"/>
          <w:kern w:val="0"/>
          <w:sz w:val="24"/>
          <w:szCs w:val="24"/>
          <w:lang w:eastAsia="en-GB"/>
          <w14:ligatures w14:val="none"/>
        </w:rPr>
      </w:pPr>
    </w:p>
    <w:p w14:paraId="2FEE0E76" w14:textId="022EE43E" w:rsidR="00C76BDD"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 xml:space="preserve">The Remuneration Committee ensures that it complies with its terms of reference and the requirements of the Committee of University Chairs (CUC) Higher Education </w:t>
      </w:r>
      <w:r w:rsidR="004861ED">
        <w:rPr>
          <w:rFonts w:ascii="Arial" w:eastAsia="Times New Roman" w:hAnsi="Arial" w:cs="Arial"/>
          <w:kern w:val="0"/>
          <w:sz w:val="24"/>
          <w:szCs w:val="24"/>
          <w:lang w:eastAsia="en-GB"/>
          <w14:ligatures w14:val="none"/>
        </w:rPr>
        <w:t xml:space="preserve">Code of Governance and </w:t>
      </w:r>
      <w:r w:rsidR="009B068D">
        <w:rPr>
          <w:rFonts w:ascii="Arial" w:eastAsia="Times New Roman" w:hAnsi="Arial" w:cs="Arial"/>
          <w:kern w:val="0"/>
          <w:sz w:val="24"/>
          <w:szCs w:val="24"/>
          <w:lang w:eastAsia="en-GB"/>
          <w14:ligatures w14:val="none"/>
        </w:rPr>
        <w:t xml:space="preserve">more specifically </w:t>
      </w:r>
      <w:r w:rsidR="004861ED">
        <w:rPr>
          <w:rFonts w:ascii="Arial" w:eastAsia="Times New Roman" w:hAnsi="Arial" w:cs="Arial"/>
          <w:kern w:val="0"/>
          <w:sz w:val="24"/>
          <w:szCs w:val="24"/>
          <w:lang w:eastAsia="en-GB"/>
          <w14:ligatures w14:val="none"/>
        </w:rPr>
        <w:t xml:space="preserve">the </w:t>
      </w:r>
      <w:r w:rsidR="009B068D">
        <w:rPr>
          <w:rFonts w:ascii="Arial" w:eastAsia="Times New Roman" w:hAnsi="Arial" w:cs="Arial"/>
          <w:kern w:val="0"/>
          <w:sz w:val="24"/>
          <w:szCs w:val="24"/>
          <w:lang w:eastAsia="en-GB"/>
          <w14:ligatures w14:val="none"/>
        </w:rPr>
        <w:t xml:space="preserve">CUC </w:t>
      </w:r>
      <w:r w:rsidRPr="00770DEF">
        <w:rPr>
          <w:rFonts w:ascii="Arial" w:eastAsia="Times New Roman" w:hAnsi="Arial" w:cs="Arial"/>
          <w:kern w:val="0"/>
          <w:sz w:val="24"/>
          <w:szCs w:val="24"/>
          <w:lang w:eastAsia="en-GB"/>
          <w14:ligatures w14:val="none"/>
        </w:rPr>
        <w:t>Senior Staff Remuneration Code</w:t>
      </w:r>
      <w:r w:rsidR="003F6CAB">
        <w:rPr>
          <w:rFonts w:ascii="Arial" w:eastAsia="Times New Roman" w:hAnsi="Arial" w:cs="Arial"/>
          <w:kern w:val="0"/>
          <w:sz w:val="24"/>
          <w:szCs w:val="24"/>
          <w:lang w:eastAsia="en-GB"/>
          <w14:ligatures w14:val="none"/>
        </w:rPr>
        <w:t xml:space="preserve"> which</w:t>
      </w:r>
      <w:r w:rsidRPr="00770DEF">
        <w:rPr>
          <w:rFonts w:ascii="Arial" w:eastAsia="Times New Roman" w:hAnsi="Arial" w:cs="Arial"/>
          <w:kern w:val="0"/>
          <w:sz w:val="24"/>
          <w:szCs w:val="24"/>
          <w:lang w:eastAsia="en-GB"/>
          <w14:ligatures w14:val="none"/>
        </w:rPr>
        <w:t xml:space="preserve"> focus</w:t>
      </w:r>
      <w:r w:rsidR="003F6CAB">
        <w:rPr>
          <w:rFonts w:ascii="Arial" w:eastAsia="Times New Roman" w:hAnsi="Arial" w:cs="Arial"/>
          <w:kern w:val="0"/>
          <w:sz w:val="24"/>
          <w:szCs w:val="24"/>
          <w:lang w:eastAsia="en-GB"/>
          <w14:ligatures w14:val="none"/>
        </w:rPr>
        <w:t>ses</w:t>
      </w:r>
      <w:r w:rsidRPr="00770DEF">
        <w:rPr>
          <w:rFonts w:ascii="Arial" w:eastAsia="Times New Roman" w:hAnsi="Arial" w:cs="Arial"/>
          <w:kern w:val="0"/>
          <w:sz w:val="24"/>
          <w:szCs w:val="24"/>
          <w:lang w:eastAsia="en-GB"/>
          <w14:ligatures w14:val="none"/>
        </w:rPr>
        <w:t xml:space="preserve"> on the three key elements: a) a fair, appropriate and justifiable level of remuneration; b) procedural fairness and c) transparency and accountability. </w:t>
      </w:r>
    </w:p>
    <w:p w14:paraId="4871105E" w14:textId="77777777" w:rsidR="00770DEF" w:rsidRPr="00770DEF" w:rsidRDefault="00770DEF" w:rsidP="00C76BDD">
      <w:pPr>
        <w:spacing w:after="0" w:line="240" w:lineRule="auto"/>
        <w:jc w:val="both"/>
        <w:textAlignment w:val="baseline"/>
        <w:rPr>
          <w:rFonts w:ascii="Arial" w:eastAsia="Times New Roman" w:hAnsi="Arial" w:cs="Arial"/>
          <w:color w:val="002D56"/>
          <w:kern w:val="0"/>
          <w:sz w:val="24"/>
          <w:szCs w:val="24"/>
          <w:lang w:eastAsia="en-GB"/>
          <w14:ligatures w14:val="none"/>
        </w:rPr>
      </w:pPr>
    </w:p>
    <w:p w14:paraId="5AAD915E" w14:textId="77777777" w:rsidR="00C76BDD" w:rsidRPr="00770DEF" w:rsidRDefault="00C76BDD" w:rsidP="00C76BDD">
      <w:pPr>
        <w:spacing w:after="0" w:line="240" w:lineRule="auto"/>
        <w:jc w:val="both"/>
        <w:textAlignment w:val="baseline"/>
        <w:rPr>
          <w:rFonts w:ascii="Arial" w:eastAsia="Times New Roman" w:hAnsi="Arial" w:cs="Arial"/>
          <w:color w:val="002D56"/>
          <w:kern w:val="0"/>
          <w:sz w:val="24"/>
          <w:szCs w:val="24"/>
          <w:lang w:eastAsia="en-GB"/>
          <w14:ligatures w14:val="none"/>
        </w:rPr>
      </w:pPr>
      <w:r w:rsidRPr="00770DEF">
        <w:rPr>
          <w:rFonts w:ascii="Arial" w:eastAsia="Times New Roman" w:hAnsi="Arial" w:cs="Arial"/>
          <w:kern w:val="0"/>
          <w:sz w:val="24"/>
          <w:szCs w:val="24"/>
          <w:lang w:eastAsia="en-GB"/>
          <w14:ligatures w14:val="none"/>
        </w:rPr>
        <w:t xml:space="preserve">In line with its terms of reference and the CUC Higher Education Senior Staff Renumeration Code, to ensure a fair and transparent process, the remuneration for the Vice-Chancellor and the senior Leadership team are reviewed annually using a fair process that reflects the performance of </w:t>
      </w:r>
      <w:proofErr w:type="gramStart"/>
      <w:r w:rsidRPr="00770DEF">
        <w:rPr>
          <w:rFonts w:ascii="Arial" w:eastAsia="Times New Roman" w:hAnsi="Arial" w:cs="Arial"/>
          <w:kern w:val="0"/>
          <w:sz w:val="24"/>
          <w:szCs w:val="24"/>
          <w:lang w:eastAsia="en-GB"/>
          <w14:ligatures w14:val="none"/>
        </w:rPr>
        <w:t>each individual</w:t>
      </w:r>
      <w:proofErr w:type="gramEnd"/>
      <w:r w:rsidRPr="00770DEF">
        <w:rPr>
          <w:rFonts w:ascii="Arial" w:eastAsia="Times New Roman" w:hAnsi="Arial" w:cs="Arial"/>
          <w:kern w:val="0"/>
          <w:sz w:val="24"/>
          <w:szCs w:val="24"/>
          <w:lang w:eastAsia="en-GB"/>
          <w14:ligatures w14:val="none"/>
        </w:rPr>
        <w:t xml:space="preserve"> in the context of the University’s performance.   </w:t>
      </w:r>
    </w:p>
    <w:p w14:paraId="4FAEAE72" w14:textId="77777777" w:rsidR="00C76BDD" w:rsidRPr="00770DEF" w:rsidRDefault="00C76BDD" w:rsidP="00C76BDD">
      <w:pPr>
        <w:spacing w:after="0" w:line="240" w:lineRule="auto"/>
        <w:textAlignment w:val="baseline"/>
        <w:rPr>
          <w:rFonts w:ascii="Arial" w:eastAsia="Times New Roman" w:hAnsi="Arial" w:cs="Arial"/>
          <w:color w:val="002D56"/>
          <w:kern w:val="0"/>
          <w:sz w:val="24"/>
          <w:szCs w:val="24"/>
          <w:lang w:eastAsia="en-GB"/>
          <w14:ligatures w14:val="none"/>
        </w:rPr>
      </w:pPr>
      <w:r w:rsidRPr="00770DEF">
        <w:rPr>
          <w:rFonts w:ascii="Arial" w:eastAsia="Times New Roman" w:hAnsi="Arial" w:cs="Arial"/>
          <w:color w:val="FF0000"/>
          <w:kern w:val="0"/>
          <w:sz w:val="24"/>
          <w:szCs w:val="24"/>
          <w:lang w:eastAsia="en-GB"/>
          <w14:ligatures w14:val="none"/>
        </w:rPr>
        <w:t> </w:t>
      </w:r>
    </w:p>
    <w:p w14:paraId="7B672972" w14:textId="77777777" w:rsidR="00C76BDD" w:rsidRDefault="00C76BDD" w:rsidP="00C76BDD">
      <w:pPr>
        <w:spacing w:after="0" w:line="240" w:lineRule="auto"/>
        <w:jc w:val="both"/>
        <w:textAlignment w:val="baseline"/>
        <w:rPr>
          <w:rFonts w:ascii="Arial" w:eastAsia="Times New Roman" w:hAnsi="Arial" w:cs="Arial"/>
          <w:b/>
          <w:bCs/>
          <w:kern w:val="0"/>
          <w:sz w:val="24"/>
          <w:szCs w:val="24"/>
          <w:lang w:eastAsia="en-GB"/>
          <w14:ligatures w14:val="none"/>
        </w:rPr>
      </w:pPr>
      <w:r w:rsidRPr="00770DEF">
        <w:rPr>
          <w:rFonts w:ascii="Arial" w:eastAsia="Times New Roman" w:hAnsi="Arial" w:cs="Arial"/>
          <w:b/>
          <w:bCs/>
          <w:kern w:val="0"/>
          <w:sz w:val="24"/>
          <w:szCs w:val="24"/>
          <w:lang w:eastAsia="en-GB"/>
          <w14:ligatures w14:val="none"/>
        </w:rPr>
        <w:t>Approach to Remuneration  </w:t>
      </w:r>
    </w:p>
    <w:p w14:paraId="3ABAF939" w14:textId="77777777" w:rsidR="00770DEF" w:rsidRPr="00770DEF" w:rsidRDefault="00770DEF" w:rsidP="00C76BDD">
      <w:pPr>
        <w:spacing w:after="0" w:line="240" w:lineRule="auto"/>
        <w:jc w:val="both"/>
        <w:textAlignment w:val="baseline"/>
        <w:rPr>
          <w:rFonts w:ascii="Arial" w:eastAsia="Times New Roman" w:hAnsi="Arial" w:cs="Arial"/>
          <w:b/>
          <w:bCs/>
          <w:color w:val="002D56"/>
          <w:kern w:val="0"/>
          <w:sz w:val="24"/>
          <w:szCs w:val="24"/>
          <w:lang w:eastAsia="en-GB"/>
          <w14:ligatures w14:val="none"/>
        </w:rPr>
      </w:pPr>
    </w:p>
    <w:p w14:paraId="3FADF90B" w14:textId="77777777" w:rsidR="00C76BDD" w:rsidRPr="00770DEF" w:rsidRDefault="00C76BDD" w:rsidP="00C76BDD">
      <w:pPr>
        <w:spacing w:after="0" w:line="240" w:lineRule="auto"/>
        <w:jc w:val="both"/>
        <w:textAlignment w:val="baseline"/>
        <w:rPr>
          <w:rFonts w:ascii="Arial" w:eastAsia="Times New Roman" w:hAnsi="Arial" w:cs="Arial"/>
          <w:color w:val="002D56"/>
          <w:kern w:val="0"/>
          <w:sz w:val="24"/>
          <w:szCs w:val="24"/>
          <w:lang w:eastAsia="en-GB"/>
          <w14:ligatures w14:val="none"/>
        </w:rPr>
      </w:pPr>
      <w:r w:rsidRPr="00770DEF">
        <w:rPr>
          <w:rFonts w:ascii="Arial" w:eastAsia="Times New Roman" w:hAnsi="Arial" w:cs="Arial"/>
          <w:kern w:val="0"/>
          <w:sz w:val="24"/>
          <w:szCs w:val="24"/>
          <w:lang w:eastAsia="en-GB"/>
          <w14:ligatures w14:val="none"/>
        </w:rPr>
        <w:t xml:space="preserve">The University’s approach to the remuneration of senior post holders is detailed in a </w:t>
      </w:r>
      <w:hyperlink r:id="rId10" w:tgtFrame="_blank" w:history="1">
        <w:r w:rsidRPr="00770DEF">
          <w:rPr>
            <w:rFonts w:ascii="Arial" w:eastAsia="Times New Roman" w:hAnsi="Arial" w:cs="Arial"/>
            <w:kern w:val="0"/>
            <w:sz w:val="24"/>
            <w:szCs w:val="24"/>
            <w:u w:val="single"/>
            <w:lang w:eastAsia="en-GB"/>
            <w14:ligatures w14:val="none"/>
          </w:rPr>
          <w:t>Senior Staff Remuneration Policy Framework</w:t>
        </w:r>
      </w:hyperlink>
      <w:r w:rsidRPr="00770DEF">
        <w:rPr>
          <w:rFonts w:ascii="Arial" w:eastAsia="Times New Roman" w:hAnsi="Arial" w:cs="Arial"/>
          <w:kern w:val="0"/>
          <w:sz w:val="24"/>
          <w:szCs w:val="24"/>
          <w:lang w:eastAsia="en-GB"/>
          <w14:ligatures w14:val="none"/>
        </w:rPr>
        <w:t>.  The Framework is reviewed annually by the Remuneration Committee and was reviewed in November 2023. </w:t>
      </w:r>
    </w:p>
    <w:p w14:paraId="1037F3F0" w14:textId="77777777" w:rsidR="00C76BDD" w:rsidRPr="00C76BDD" w:rsidRDefault="00C76BDD" w:rsidP="00C76BDD">
      <w:pPr>
        <w:spacing w:after="0" w:line="240" w:lineRule="auto"/>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color w:val="FF0000"/>
          <w:kern w:val="0"/>
          <w:sz w:val="20"/>
          <w:szCs w:val="20"/>
          <w:lang w:eastAsia="en-GB"/>
          <w14:ligatures w14:val="none"/>
        </w:rPr>
        <w:t> </w:t>
      </w:r>
    </w:p>
    <w:p w14:paraId="4D9608F7" w14:textId="77777777" w:rsidR="00C76BDD" w:rsidRDefault="00C76BDD" w:rsidP="00C76BDD">
      <w:pPr>
        <w:spacing w:after="0" w:line="240" w:lineRule="auto"/>
        <w:jc w:val="both"/>
        <w:textAlignment w:val="baseline"/>
        <w:rPr>
          <w:rFonts w:ascii="Arial" w:eastAsia="Times New Roman" w:hAnsi="Arial" w:cs="Arial"/>
          <w:b/>
          <w:bCs/>
          <w:kern w:val="0"/>
          <w:sz w:val="24"/>
          <w:szCs w:val="24"/>
          <w:lang w:eastAsia="en-GB"/>
          <w14:ligatures w14:val="none"/>
        </w:rPr>
      </w:pPr>
      <w:r w:rsidRPr="00770DEF">
        <w:rPr>
          <w:rFonts w:ascii="Arial" w:eastAsia="Times New Roman" w:hAnsi="Arial" w:cs="Arial"/>
          <w:b/>
          <w:bCs/>
          <w:kern w:val="0"/>
          <w:sz w:val="24"/>
          <w:szCs w:val="24"/>
          <w:lang w:eastAsia="en-GB"/>
          <w14:ligatures w14:val="none"/>
        </w:rPr>
        <w:t>Remuneration 2023-2024 </w:t>
      </w:r>
    </w:p>
    <w:p w14:paraId="044EEE67" w14:textId="77777777" w:rsidR="00770DEF" w:rsidRPr="00770DEF" w:rsidRDefault="00770DEF" w:rsidP="00C76BDD">
      <w:pPr>
        <w:spacing w:after="0" w:line="240" w:lineRule="auto"/>
        <w:jc w:val="both"/>
        <w:textAlignment w:val="baseline"/>
        <w:rPr>
          <w:rFonts w:ascii="Segoe UI" w:eastAsia="Times New Roman" w:hAnsi="Segoe UI" w:cs="Segoe UI"/>
          <w:b/>
          <w:bCs/>
          <w:color w:val="002D56"/>
          <w:kern w:val="0"/>
          <w:sz w:val="24"/>
          <w:szCs w:val="24"/>
          <w:lang w:eastAsia="en-GB"/>
          <w14:ligatures w14:val="none"/>
        </w:rPr>
      </w:pPr>
    </w:p>
    <w:p w14:paraId="59FD280E" w14:textId="77777777" w:rsidR="00770DEF"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 xml:space="preserve">Each year the Director of People and Culture prepares for the Remuneration Committee a paper benchmarking the base salary of the Vice-Chancellor and other senior postholders against the annual salary of institutions of comparable size and scope.  </w:t>
      </w:r>
    </w:p>
    <w:p w14:paraId="0FE2D036" w14:textId="631C9140" w:rsidR="00C76BDD"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lastRenderedPageBreak/>
        <w:t>This data is drawn from the annual Universities and colleges Employer Association (UCEA) Senior Staff Remuneration Survey, and the annual CUC Vice-Chancellor Salary Survey. </w:t>
      </w:r>
    </w:p>
    <w:p w14:paraId="0D862B65" w14:textId="77777777" w:rsidR="00770DEF" w:rsidRPr="00770DEF" w:rsidRDefault="00770DEF" w:rsidP="00C76BDD">
      <w:pPr>
        <w:spacing w:after="0" w:line="240" w:lineRule="auto"/>
        <w:jc w:val="both"/>
        <w:textAlignment w:val="baseline"/>
        <w:rPr>
          <w:rFonts w:ascii="Segoe UI" w:eastAsia="Times New Roman" w:hAnsi="Segoe UI" w:cs="Segoe UI"/>
          <w:color w:val="002D56"/>
          <w:kern w:val="0"/>
          <w:sz w:val="24"/>
          <w:szCs w:val="24"/>
          <w:lang w:eastAsia="en-GB"/>
          <w14:ligatures w14:val="none"/>
        </w:rPr>
      </w:pPr>
    </w:p>
    <w:p w14:paraId="0B5A715A" w14:textId="77777777" w:rsidR="00C76BDD"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 xml:space="preserve">The Remuneration Committee considers </w:t>
      </w:r>
      <w:proofErr w:type="gramStart"/>
      <w:r w:rsidRPr="00770DEF">
        <w:rPr>
          <w:rFonts w:ascii="Arial" w:eastAsia="Times New Roman" w:hAnsi="Arial" w:cs="Arial"/>
          <w:kern w:val="0"/>
          <w:sz w:val="24"/>
          <w:szCs w:val="24"/>
          <w:lang w:eastAsia="en-GB"/>
          <w14:ligatures w14:val="none"/>
        </w:rPr>
        <w:t>a number of</w:t>
      </w:r>
      <w:proofErr w:type="gramEnd"/>
      <w:r w:rsidRPr="00770DEF">
        <w:rPr>
          <w:rFonts w:ascii="Arial" w:eastAsia="Times New Roman" w:hAnsi="Arial" w:cs="Arial"/>
          <w:kern w:val="0"/>
          <w:sz w:val="24"/>
          <w:szCs w:val="24"/>
          <w:lang w:eastAsia="en-GB"/>
          <w14:ligatures w14:val="none"/>
        </w:rPr>
        <w:t xml:space="preserve"> factors when considering performance reward proposals.  These include but are not limited to: </w:t>
      </w:r>
    </w:p>
    <w:p w14:paraId="5705048D" w14:textId="77777777" w:rsidR="00770DEF" w:rsidRPr="00770DEF" w:rsidRDefault="00770DEF" w:rsidP="00C76BDD">
      <w:pPr>
        <w:spacing w:after="0" w:line="240" w:lineRule="auto"/>
        <w:jc w:val="both"/>
        <w:textAlignment w:val="baseline"/>
        <w:rPr>
          <w:rFonts w:ascii="Segoe UI" w:eastAsia="Times New Roman" w:hAnsi="Segoe UI" w:cs="Segoe UI"/>
          <w:color w:val="002D56"/>
          <w:kern w:val="0"/>
          <w:sz w:val="24"/>
          <w:szCs w:val="24"/>
          <w:lang w:eastAsia="en-GB"/>
          <w14:ligatures w14:val="none"/>
        </w:rPr>
      </w:pPr>
    </w:p>
    <w:p w14:paraId="152CD5C6" w14:textId="77777777" w:rsidR="009B66ED" w:rsidRPr="009B66ED" w:rsidRDefault="00C76BDD" w:rsidP="78FF34B9">
      <w:pPr>
        <w:numPr>
          <w:ilvl w:val="0"/>
          <w:numId w:val="1"/>
        </w:numPr>
        <w:tabs>
          <w:tab w:val="clear" w:pos="1440"/>
        </w:tabs>
        <w:spacing w:after="0" w:line="240" w:lineRule="auto"/>
        <w:ind w:left="0" w:firstLine="0"/>
        <w:jc w:val="both"/>
        <w:textAlignment w:val="baseline"/>
        <w:rPr>
          <w:rFonts w:ascii="Arial" w:eastAsia="Times New Roman" w:hAnsi="Arial" w:cs="Arial"/>
          <w:color w:val="002D56"/>
          <w:kern w:val="0"/>
          <w:sz w:val="24"/>
          <w:szCs w:val="24"/>
          <w:lang w:eastAsia="en-GB"/>
          <w14:ligatures w14:val="none"/>
        </w:rPr>
      </w:pPr>
      <w:r w:rsidRPr="00770DEF">
        <w:rPr>
          <w:rFonts w:ascii="Arial" w:eastAsia="Times New Roman" w:hAnsi="Arial" w:cs="Arial"/>
          <w:kern w:val="0"/>
          <w:sz w:val="24"/>
          <w:szCs w:val="24"/>
          <w:lang w:eastAsia="en-GB"/>
          <w14:ligatures w14:val="none"/>
        </w:rPr>
        <w:t>Performance in support of the University’s strategic objectives in the</w:t>
      </w:r>
    </w:p>
    <w:p w14:paraId="27BB32FC" w14:textId="37C465D4" w:rsidR="00C76BDD" w:rsidRPr="00770DEF" w:rsidRDefault="00C76BDD" w:rsidP="00230CAE">
      <w:pPr>
        <w:spacing w:after="0" w:line="240" w:lineRule="auto"/>
        <w:ind w:left="720"/>
        <w:jc w:val="both"/>
        <w:textAlignment w:val="baseline"/>
        <w:rPr>
          <w:rFonts w:ascii="Arial" w:eastAsia="Times New Roman" w:hAnsi="Arial" w:cs="Arial"/>
          <w:color w:val="002D56"/>
          <w:kern w:val="0"/>
          <w:sz w:val="24"/>
          <w:szCs w:val="24"/>
          <w:lang w:eastAsia="en-GB"/>
          <w14:ligatures w14:val="none"/>
        </w:rPr>
      </w:pPr>
      <w:r w:rsidRPr="00770DEF">
        <w:rPr>
          <w:rFonts w:ascii="Arial" w:eastAsia="Times New Roman" w:hAnsi="Arial" w:cs="Arial"/>
          <w:kern w:val="0"/>
          <w:sz w:val="24"/>
          <w:szCs w:val="24"/>
          <w:lang w:eastAsia="en-GB"/>
          <w14:ligatures w14:val="none"/>
        </w:rPr>
        <w:t>areas of teaching; research; innovation and engagement; leadership and management; leadership of staff; partnerships and external relations internationally, nationally and locally; major initiatives and projects</w:t>
      </w:r>
      <w:r w:rsidR="00D021DC">
        <w:rPr>
          <w:rFonts w:ascii="Arial" w:eastAsia="Times New Roman" w:hAnsi="Arial" w:cs="Arial"/>
          <w:kern w:val="0"/>
          <w:sz w:val="24"/>
          <w:szCs w:val="24"/>
          <w:lang w:eastAsia="en-GB"/>
          <w14:ligatures w14:val="none"/>
        </w:rPr>
        <w:t>;</w:t>
      </w:r>
      <w:r w:rsidRPr="00770DEF">
        <w:rPr>
          <w:rFonts w:ascii="Arial" w:eastAsia="Times New Roman" w:hAnsi="Arial" w:cs="Arial"/>
          <w:kern w:val="0"/>
          <w:sz w:val="24"/>
          <w:szCs w:val="24"/>
          <w:lang w:eastAsia="en-GB"/>
          <w14:ligatures w14:val="none"/>
        </w:rPr>
        <w:t> </w:t>
      </w:r>
    </w:p>
    <w:p w14:paraId="539FA43E" w14:textId="0483364F" w:rsidR="00C76BDD" w:rsidRPr="00770DEF" w:rsidRDefault="00C76BDD" w:rsidP="00230CAE">
      <w:pPr>
        <w:numPr>
          <w:ilvl w:val="0"/>
          <w:numId w:val="2"/>
        </w:numPr>
        <w:tabs>
          <w:tab w:val="clear" w:pos="720"/>
          <w:tab w:val="num" w:pos="-720"/>
        </w:tabs>
        <w:spacing w:after="0" w:line="240" w:lineRule="auto"/>
        <w:ind w:left="0" w:firstLine="0"/>
        <w:jc w:val="both"/>
        <w:textAlignment w:val="baseline"/>
        <w:rPr>
          <w:rFonts w:ascii="Arial" w:eastAsia="Times New Roman" w:hAnsi="Arial" w:cs="Arial"/>
          <w:color w:val="002D56"/>
          <w:kern w:val="0"/>
          <w:sz w:val="24"/>
          <w:szCs w:val="24"/>
          <w:lang w:eastAsia="en-GB"/>
          <w14:ligatures w14:val="none"/>
        </w:rPr>
      </w:pPr>
      <w:r w:rsidRPr="00770DEF">
        <w:rPr>
          <w:rFonts w:ascii="Arial" w:eastAsia="Times New Roman" w:hAnsi="Arial" w:cs="Arial"/>
          <w:kern w:val="0"/>
          <w:sz w:val="24"/>
          <w:szCs w:val="24"/>
          <w:lang w:eastAsia="en-GB"/>
          <w14:ligatures w14:val="none"/>
        </w:rPr>
        <w:t>The size and complexity of the University</w:t>
      </w:r>
      <w:r w:rsidR="00D021DC">
        <w:rPr>
          <w:rFonts w:ascii="Arial" w:eastAsia="Times New Roman" w:hAnsi="Arial" w:cs="Arial"/>
          <w:kern w:val="0"/>
          <w:sz w:val="24"/>
          <w:szCs w:val="24"/>
          <w:lang w:eastAsia="en-GB"/>
          <w14:ligatures w14:val="none"/>
        </w:rPr>
        <w:t>;</w:t>
      </w:r>
      <w:r w:rsidRPr="00770DEF">
        <w:rPr>
          <w:rFonts w:ascii="Arial" w:eastAsia="Times New Roman" w:hAnsi="Arial" w:cs="Arial"/>
          <w:kern w:val="0"/>
          <w:sz w:val="24"/>
          <w:szCs w:val="24"/>
          <w:lang w:eastAsia="en-GB"/>
          <w14:ligatures w14:val="none"/>
        </w:rPr>
        <w:t> </w:t>
      </w:r>
    </w:p>
    <w:p w14:paraId="55419780" w14:textId="77777777" w:rsidR="00230CAE" w:rsidRDefault="00C76BDD" w:rsidP="00230CAE">
      <w:pPr>
        <w:numPr>
          <w:ilvl w:val="0"/>
          <w:numId w:val="3"/>
        </w:numPr>
        <w:tabs>
          <w:tab w:val="clear" w:pos="720"/>
          <w:tab w:val="num" w:pos="-720"/>
        </w:tabs>
        <w:spacing w:after="0" w:line="240" w:lineRule="auto"/>
        <w:ind w:left="0" w:firstLine="0"/>
        <w:jc w:val="both"/>
        <w:textAlignment w:val="baseline"/>
        <w:rPr>
          <w:rFonts w:ascii="Arial" w:eastAsia="Times New Roman" w:hAnsi="Arial" w:cs="Arial"/>
          <w:color w:val="002D56"/>
          <w:kern w:val="0"/>
          <w:sz w:val="24"/>
          <w:szCs w:val="24"/>
          <w:lang w:eastAsia="en-GB"/>
          <w14:ligatures w14:val="none"/>
        </w:rPr>
      </w:pPr>
      <w:r w:rsidRPr="00770DEF">
        <w:rPr>
          <w:rFonts w:ascii="Arial" w:eastAsia="Times New Roman" w:hAnsi="Arial" w:cs="Arial"/>
          <w:kern w:val="0"/>
          <w:sz w:val="24"/>
          <w:szCs w:val="24"/>
          <w:lang w:eastAsia="en-GB"/>
          <w14:ligatures w14:val="none"/>
        </w:rPr>
        <w:t>The nature of the HE markets and issues of recruitment and retention</w:t>
      </w:r>
      <w:r w:rsidR="00D021DC">
        <w:rPr>
          <w:rFonts w:ascii="Arial" w:eastAsia="Times New Roman" w:hAnsi="Arial" w:cs="Arial"/>
          <w:kern w:val="0"/>
          <w:sz w:val="24"/>
          <w:szCs w:val="24"/>
          <w:lang w:eastAsia="en-GB"/>
          <w14:ligatures w14:val="none"/>
        </w:rPr>
        <w:t>;</w:t>
      </w:r>
      <w:r w:rsidRPr="00770DEF">
        <w:rPr>
          <w:rFonts w:ascii="Arial" w:eastAsia="Times New Roman" w:hAnsi="Arial" w:cs="Arial"/>
          <w:kern w:val="0"/>
          <w:sz w:val="24"/>
          <w:szCs w:val="24"/>
          <w:lang w:eastAsia="en-GB"/>
          <w14:ligatures w14:val="none"/>
        </w:rPr>
        <w:t> </w:t>
      </w:r>
    </w:p>
    <w:p w14:paraId="1F5931E3" w14:textId="29023896" w:rsidR="00C76BDD" w:rsidRPr="00230CAE" w:rsidRDefault="00C76BDD" w:rsidP="78FF34B9">
      <w:pPr>
        <w:numPr>
          <w:ilvl w:val="0"/>
          <w:numId w:val="3"/>
        </w:numPr>
        <w:tabs>
          <w:tab w:val="clear" w:pos="720"/>
        </w:tabs>
        <w:spacing w:after="0" w:line="240" w:lineRule="auto"/>
        <w:ind w:left="0" w:firstLine="0"/>
        <w:jc w:val="both"/>
        <w:textAlignment w:val="baseline"/>
        <w:rPr>
          <w:rFonts w:ascii="Arial" w:eastAsia="Times New Roman" w:hAnsi="Arial" w:cs="Arial"/>
          <w:color w:val="002D56"/>
          <w:kern w:val="0"/>
          <w:sz w:val="24"/>
          <w:szCs w:val="24"/>
          <w:lang w:eastAsia="en-GB"/>
          <w14:ligatures w14:val="none"/>
        </w:rPr>
      </w:pPr>
      <w:r w:rsidRPr="00230CAE">
        <w:rPr>
          <w:rFonts w:ascii="Arial" w:eastAsia="Times New Roman" w:hAnsi="Arial" w:cs="Arial"/>
          <w:kern w:val="0"/>
          <w:sz w:val="24"/>
          <w:szCs w:val="24"/>
          <w:lang w:eastAsia="en-GB"/>
          <w14:ligatures w14:val="none"/>
        </w:rPr>
        <w:t xml:space="preserve">The University’s objectives in relation to the diversity of the workforce; </w:t>
      </w:r>
    </w:p>
    <w:p w14:paraId="3BDB8970" w14:textId="4A7CE21B" w:rsidR="00C76BDD" w:rsidRPr="00770DEF" w:rsidRDefault="00C76BDD" w:rsidP="00230CAE">
      <w:pPr>
        <w:numPr>
          <w:ilvl w:val="0"/>
          <w:numId w:val="5"/>
        </w:numPr>
        <w:tabs>
          <w:tab w:val="clear" w:pos="720"/>
          <w:tab w:val="num" w:pos="-720"/>
        </w:tabs>
        <w:spacing w:after="0" w:line="240" w:lineRule="auto"/>
        <w:ind w:left="0" w:firstLine="0"/>
        <w:jc w:val="both"/>
        <w:textAlignment w:val="baseline"/>
        <w:rPr>
          <w:rFonts w:ascii="Arial" w:eastAsia="Times New Roman" w:hAnsi="Arial" w:cs="Arial"/>
          <w:color w:val="002D56"/>
          <w:kern w:val="0"/>
          <w:sz w:val="24"/>
          <w:szCs w:val="24"/>
          <w:lang w:eastAsia="en-GB"/>
          <w14:ligatures w14:val="none"/>
        </w:rPr>
      </w:pPr>
      <w:r w:rsidRPr="00770DEF">
        <w:rPr>
          <w:rFonts w:ascii="Arial" w:eastAsia="Times New Roman" w:hAnsi="Arial" w:cs="Arial"/>
          <w:kern w:val="0"/>
          <w:sz w:val="24"/>
          <w:szCs w:val="24"/>
          <w:lang w:eastAsia="en-GB"/>
          <w14:ligatures w14:val="none"/>
        </w:rPr>
        <w:t>Salary benchmarking data</w:t>
      </w:r>
      <w:r w:rsidR="00D021DC">
        <w:rPr>
          <w:rFonts w:ascii="Arial" w:eastAsia="Times New Roman" w:hAnsi="Arial" w:cs="Arial"/>
          <w:kern w:val="0"/>
          <w:sz w:val="24"/>
          <w:szCs w:val="24"/>
          <w:lang w:eastAsia="en-GB"/>
          <w14:ligatures w14:val="none"/>
        </w:rPr>
        <w:t>.</w:t>
      </w:r>
      <w:r w:rsidRPr="00770DEF">
        <w:rPr>
          <w:rFonts w:ascii="Arial" w:eastAsia="Times New Roman" w:hAnsi="Arial" w:cs="Arial"/>
          <w:kern w:val="0"/>
          <w:sz w:val="24"/>
          <w:szCs w:val="24"/>
          <w:lang w:eastAsia="en-GB"/>
          <w14:ligatures w14:val="none"/>
        </w:rPr>
        <w:t> </w:t>
      </w:r>
    </w:p>
    <w:p w14:paraId="5507EB47" w14:textId="77777777" w:rsidR="00770DEF" w:rsidRDefault="00770DEF" w:rsidP="00C76BDD">
      <w:pPr>
        <w:spacing w:after="0" w:line="240" w:lineRule="auto"/>
        <w:jc w:val="both"/>
        <w:textAlignment w:val="baseline"/>
        <w:rPr>
          <w:rFonts w:ascii="Arial" w:eastAsia="Times New Roman" w:hAnsi="Arial" w:cs="Arial"/>
          <w:kern w:val="0"/>
          <w:sz w:val="24"/>
          <w:szCs w:val="24"/>
          <w:lang w:eastAsia="en-GB"/>
          <w14:ligatures w14:val="none"/>
        </w:rPr>
      </w:pPr>
    </w:p>
    <w:p w14:paraId="70345B76" w14:textId="77777777" w:rsidR="00C76BDD"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The senior postholder jobs are supported by the Hay Job evaluation methodology and the posts were last reviewed in 2022. The Hay job evaluation methodology is the most widely used job evaluation scheme in the world. </w:t>
      </w:r>
    </w:p>
    <w:p w14:paraId="5F59AB60" w14:textId="77777777" w:rsidR="00770DEF" w:rsidRPr="00770DEF" w:rsidRDefault="00770DEF" w:rsidP="00C76BDD">
      <w:pPr>
        <w:spacing w:after="0" w:line="240" w:lineRule="auto"/>
        <w:jc w:val="both"/>
        <w:textAlignment w:val="baseline"/>
        <w:rPr>
          <w:rFonts w:ascii="Segoe UI" w:eastAsia="Times New Roman" w:hAnsi="Segoe UI" w:cs="Segoe UI"/>
          <w:color w:val="002D56"/>
          <w:kern w:val="0"/>
          <w:sz w:val="24"/>
          <w:szCs w:val="24"/>
          <w:lang w:eastAsia="en-GB"/>
          <w14:ligatures w14:val="none"/>
        </w:rPr>
      </w:pPr>
    </w:p>
    <w:p w14:paraId="23A5AC8A" w14:textId="3452A0AD" w:rsidR="00C76BDD" w:rsidRPr="00770DEF" w:rsidRDefault="00C76BDD" w:rsidP="00C76BDD">
      <w:pPr>
        <w:spacing w:after="0" w:line="240" w:lineRule="auto"/>
        <w:jc w:val="both"/>
        <w:textAlignment w:val="baseline"/>
        <w:rPr>
          <w:rFonts w:ascii="Segoe UI" w:eastAsia="Times New Roman" w:hAnsi="Segoe UI" w:cs="Segoe UI"/>
          <w:color w:val="002D56"/>
          <w:kern w:val="0"/>
          <w:sz w:val="24"/>
          <w:szCs w:val="24"/>
          <w:lang w:eastAsia="en-GB"/>
          <w14:ligatures w14:val="none"/>
        </w:rPr>
      </w:pPr>
      <w:r w:rsidRPr="00770DEF">
        <w:rPr>
          <w:rFonts w:ascii="Arial" w:eastAsia="Times New Roman" w:hAnsi="Arial" w:cs="Arial"/>
          <w:kern w:val="0"/>
          <w:sz w:val="24"/>
          <w:szCs w:val="24"/>
          <w:lang w:eastAsia="en-GB"/>
          <w14:ligatures w14:val="none"/>
        </w:rPr>
        <w:t>During the year 2023-24 the Remuneration Committee awarded a 3% cost of living salary increase to the Vice-Chancellor and the Senior staff in August 2023.  This was in line with the nationally agreed HE sector pay award for staff on the New JNCHES pay spine and covered by the University’s Grading structure which consists of 9 grades.  These grades are supported by the Higher Education Role Analysis (HERA) job evaluation methodology.  </w:t>
      </w:r>
    </w:p>
    <w:p w14:paraId="25D8E88D" w14:textId="77777777" w:rsidR="00C76BDD" w:rsidRPr="00C76BDD" w:rsidRDefault="00C76BDD" w:rsidP="00C76BDD">
      <w:pPr>
        <w:spacing w:after="0" w:line="240" w:lineRule="auto"/>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color w:val="FF0000"/>
          <w:kern w:val="0"/>
          <w:sz w:val="20"/>
          <w:szCs w:val="20"/>
          <w:lang w:eastAsia="en-GB"/>
          <w14:ligatures w14:val="none"/>
        </w:rPr>
        <w:t> </w:t>
      </w:r>
    </w:p>
    <w:p w14:paraId="0D5E2877" w14:textId="77777777" w:rsidR="00C76BDD" w:rsidRPr="00770DEF" w:rsidRDefault="00C76BDD" w:rsidP="00C76BDD">
      <w:pPr>
        <w:spacing w:after="0" w:line="240" w:lineRule="auto"/>
        <w:jc w:val="both"/>
        <w:textAlignment w:val="baseline"/>
        <w:rPr>
          <w:rFonts w:ascii="Arial" w:eastAsia="Times New Roman" w:hAnsi="Arial" w:cs="Arial"/>
          <w:b/>
          <w:bCs/>
          <w:kern w:val="0"/>
          <w:sz w:val="24"/>
          <w:szCs w:val="24"/>
          <w:lang w:eastAsia="en-GB"/>
          <w14:ligatures w14:val="none"/>
        </w:rPr>
      </w:pPr>
      <w:r w:rsidRPr="00770DEF">
        <w:rPr>
          <w:rFonts w:ascii="Arial" w:eastAsia="Times New Roman" w:hAnsi="Arial" w:cs="Arial"/>
          <w:b/>
          <w:bCs/>
          <w:kern w:val="0"/>
          <w:sz w:val="24"/>
          <w:szCs w:val="24"/>
          <w:lang w:eastAsia="en-GB"/>
          <w14:ligatures w14:val="none"/>
        </w:rPr>
        <w:t>Vice-Chancellor Remuneration </w:t>
      </w:r>
    </w:p>
    <w:p w14:paraId="0F0454F1" w14:textId="77777777" w:rsidR="00770DEF" w:rsidRPr="00770DEF" w:rsidRDefault="00770DEF" w:rsidP="00C76BDD">
      <w:pPr>
        <w:spacing w:after="0" w:line="240" w:lineRule="auto"/>
        <w:jc w:val="both"/>
        <w:textAlignment w:val="baseline"/>
        <w:rPr>
          <w:rFonts w:ascii="Segoe UI" w:eastAsia="Times New Roman" w:hAnsi="Segoe UI" w:cs="Segoe UI"/>
          <w:b/>
          <w:bCs/>
          <w:color w:val="002D56"/>
          <w:kern w:val="0"/>
          <w:sz w:val="24"/>
          <w:szCs w:val="24"/>
          <w:lang w:eastAsia="en-GB"/>
          <w14:ligatures w14:val="none"/>
        </w:rPr>
      </w:pPr>
    </w:p>
    <w:p w14:paraId="70431C64" w14:textId="77777777" w:rsidR="00C76BDD" w:rsidRPr="00770DEF"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The Remuneration Committee decides the remuneration package of the Vice-Chancellor, taking account of the breadth of leadership and financial responsibilities and delivery against the University’s strategic objectives. </w:t>
      </w:r>
    </w:p>
    <w:p w14:paraId="28868005" w14:textId="77777777" w:rsidR="00770DEF" w:rsidRPr="00770DEF" w:rsidRDefault="00770DEF" w:rsidP="00C76BDD">
      <w:pPr>
        <w:spacing w:after="0" w:line="240" w:lineRule="auto"/>
        <w:jc w:val="both"/>
        <w:textAlignment w:val="baseline"/>
        <w:rPr>
          <w:rFonts w:ascii="Segoe UI" w:eastAsia="Times New Roman" w:hAnsi="Segoe UI" w:cs="Segoe UI"/>
          <w:color w:val="002D56"/>
          <w:kern w:val="0"/>
          <w:sz w:val="24"/>
          <w:szCs w:val="24"/>
          <w:lang w:eastAsia="en-GB"/>
          <w14:ligatures w14:val="none"/>
        </w:rPr>
      </w:pPr>
    </w:p>
    <w:p w14:paraId="1B4DA306" w14:textId="0B75E1B9" w:rsidR="00770DEF" w:rsidRPr="00770DEF" w:rsidRDefault="7BA1CB97"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In meeting the University’s vision as a progressive university, working with purpose, impact and compassion to make economies more prosperous, societies fairer, cultures richer, environment greener and communities healthier, it is essential that the university offers a competitive remuneration package for the Vice-Chancellor role.  This also recognises the diverse and complex nature of the organisation with over</w:t>
      </w:r>
      <w:r w:rsidR="00951A90">
        <w:rPr>
          <w:rFonts w:ascii="Arial" w:eastAsia="Times New Roman" w:hAnsi="Arial" w:cs="Arial"/>
          <w:kern w:val="0"/>
          <w:sz w:val="24"/>
          <w:szCs w:val="24"/>
          <w:lang w:eastAsia="en-GB"/>
          <w14:ligatures w14:val="none"/>
        </w:rPr>
        <w:t xml:space="preserve"> </w:t>
      </w:r>
      <w:r w:rsidR="00BD19F2">
        <w:rPr>
          <w:rFonts w:ascii="Arial" w:eastAsia="Times New Roman" w:hAnsi="Arial" w:cs="Arial"/>
          <w:kern w:val="0"/>
          <w:sz w:val="24"/>
          <w:szCs w:val="24"/>
          <w:lang w:eastAsia="en-GB"/>
          <w14:ligatures w14:val="none"/>
        </w:rPr>
        <w:t>*</w:t>
      </w:r>
      <w:r w:rsidR="00951A90">
        <w:rPr>
          <w:rFonts w:ascii="Arial" w:eastAsia="Times New Roman" w:hAnsi="Arial" w:cs="Arial"/>
          <w:kern w:val="0"/>
          <w:sz w:val="24"/>
          <w:szCs w:val="24"/>
          <w:lang w:eastAsia="en-GB"/>
          <w14:ligatures w14:val="none"/>
        </w:rPr>
        <w:t>25,000</w:t>
      </w:r>
      <w:r w:rsidRPr="00770DEF">
        <w:rPr>
          <w:rFonts w:ascii="Arial" w:eastAsia="Times New Roman" w:hAnsi="Arial" w:cs="Arial"/>
          <w:kern w:val="0"/>
          <w:sz w:val="24"/>
          <w:szCs w:val="24"/>
          <w:lang w:eastAsia="en-GB"/>
          <w14:ligatures w14:val="none"/>
        </w:rPr>
        <w:t xml:space="preserve"> student enrolments, over</w:t>
      </w:r>
      <w:r w:rsidR="27B111FF" w:rsidRPr="00770DEF">
        <w:rPr>
          <w:rFonts w:ascii="Arial" w:eastAsia="Times New Roman" w:hAnsi="Arial" w:cs="Arial"/>
          <w:kern w:val="0"/>
          <w:sz w:val="24"/>
          <w:szCs w:val="24"/>
          <w:lang w:eastAsia="en-GB"/>
          <w14:ligatures w14:val="none"/>
        </w:rPr>
        <w:t xml:space="preserve"> </w:t>
      </w:r>
      <w:r w:rsidR="00BD19F2">
        <w:rPr>
          <w:rFonts w:ascii="Arial" w:eastAsia="Times New Roman" w:hAnsi="Arial" w:cs="Arial"/>
          <w:kern w:val="0"/>
          <w:sz w:val="24"/>
          <w:szCs w:val="24"/>
          <w:lang w:eastAsia="en-GB"/>
          <w14:ligatures w14:val="none"/>
        </w:rPr>
        <w:t xml:space="preserve">*1500 </w:t>
      </w:r>
      <w:r w:rsidRPr="00770DEF">
        <w:rPr>
          <w:rFonts w:ascii="Arial" w:eastAsia="Times New Roman" w:hAnsi="Arial" w:cs="Arial"/>
          <w:kern w:val="0"/>
          <w:sz w:val="24"/>
          <w:szCs w:val="24"/>
          <w:lang w:eastAsia="en-GB"/>
          <w14:ligatures w14:val="none"/>
        </w:rPr>
        <w:t>paid staff and an income of £145m</w:t>
      </w:r>
      <w:r w:rsidR="357A6646" w:rsidRPr="00770DEF">
        <w:rPr>
          <w:rFonts w:ascii="Arial" w:eastAsia="Times New Roman" w:hAnsi="Arial" w:cs="Arial"/>
          <w:kern w:val="0"/>
          <w:sz w:val="24"/>
          <w:szCs w:val="24"/>
          <w:lang w:eastAsia="en-GB"/>
          <w14:ligatures w14:val="none"/>
        </w:rPr>
        <w:t xml:space="preserve"> (</w:t>
      </w:r>
      <w:r w:rsidR="0491D925" w:rsidRPr="00770DEF">
        <w:rPr>
          <w:rFonts w:ascii="Arial" w:eastAsia="Times New Roman" w:hAnsi="Arial" w:cs="Arial"/>
          <w:kern w:val="0"/>
          <w:sz w:val="24"/>
          <w:szCs w:val="24"/>
          <w:lang w:eastAsia="en-GB"/>
          <w14:ligatures w14:val="none"/>
        </w:rPr>
        <w:t>* based on Cardiff Met 2022/23 HESA data).</w:t>
      </w:r>
    </w:p>
    <w:p w14:paraId="59A52D40" w14:textId="66A677C5" w:rsidR="00C76BDD" w:rsidRPr="00770DEF" w:rsidRDefault="00C76BDD" w:rsidP="00C76BDD">
      <w:pPr>
        <w:spacing w:after="0" w:line="240" w:lineRule="auto"/>
        <w:jc w:val="both"/>
        <w:textAlignment w:val="baseline"/>
        <w:rPr>
          <w:rFonts w:ascii="Segoe UI" w:eastAsia="Times New Roman" w:hAnsi="Segoe UI" w:cs="Segoe UI"/>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  </w:t>
      </w:r>
    </w:p>
    <w:p w14:paraId="30C5D315" w14:textId="77777777" w:rsidR="00C76BDD" w:rsidRPr="00770DEF"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In considering the Vice-Chancellor’s remuneration package, the Remuneration Committee considers the organisational context, alongside the Vice-Chancellor’s performance, general pay movement for all University staff, retention, and any relevant market considerations, and is informed by salary benchmarking information with comparator universities. </w:t>
      </w:r>
    </w:p>
    <w:p w14:paraId="5F99BF15" w14:textId="77777777" w:rsidR="00770DEF" w:rsidRPr="00C76BDD" w:rsidRDefault="00770DEF" w:rsidP="00C76BDD">
      <w:pPr>
        <w:spacing w:after="0" w:line="240" w:lineRule="auto"/>
        <w:jc w:val="both"/>
        <w:textAlignment w:val="baseline"/>
        <w:rPr>
          <w:rFonts w:ascii="Segoe UI" w:eastAsia="Times New Roman" w:hAnsi="Segoe UI" w:cs="Segoe UI"/>
          <w:color w:val="002D56"/>
          <w:kern w:val="0"/>
          <w:sz w:val="18"/>
          <w:szCs w:val="18"/>
          <w:lang w:eastAsia="en-GB"/>
          <w14:ligatures w14:val="none"/>
        </w:rPr>
      </w:pPr>
    </w:p>
    <w:p w14:paraId="303F9682" w14:textId="77777777" w:rsidR="00C76BDD" w:rsidRPr="00770DEF"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 xml:space="preserve">The Vice-Chancellor’s performance is assessed by the Chair of the Board of Governors after taking soundings and feedback from all members of the Board of Governors.  It is based on leadership, the achievement of key strategic objectives, </w:t>
      </w:r>
      <w:r w:rsidRPr="00770DEF">
        <w:rPr>
          <w:rFonts w:ascii="Arial" w:eastAsia="Times New Roman" w:hAnsi="Arial" w:cs="Arial"/>
          <w:kern w:val="0"/>
          <w:sz w:val="24"/>
          <w:szCs w:val="24"/>
          <w:lang w:eastAsia="en-GB"/>
          <w14:ligatures w14:val="none"/>
        </w:rPr>
        <w:lastRenderedPageBreak/>
        <w:t>measurement against agreed targets, the overall performance of the University and the external context in which the university operates. Each year the Remuneration Committee receives a report by the Chair of the Board of Governors on the Vice-Chancellor’s Performance and Development Review and agreed objectives for the following year.   </w:t>
      </w:r>
    </w:p>
    <w:p w14:paraId="60CB6367" w14:textId="77777777" w:rsidR="00770DEF" w:rsidRPr="00C76BDD" w:rsidRDefault="00770DEF" w:rsidP="00C76BDD">
      <w:pPr>
        <w:spacing w:after="0" w:line="240" w:lineRule="auto"/>
        <w:jc w:val="both"/>
        <w:textAlignment w:val="baseline"/>
        <w:rPr>
          <w:rFonts w:ascii="Segoe UI" w:eastAsia="Times New Roman" w:hAnsi="Segoe UI" w:cs="Segoe UI"/>
          <w:color w:val="002D56"/>
          <w:kern w:val="0"/>
          <w:sz w:val="18"/>
          <w:szCs w:val="18"/>
          <w:lang w:eastAsia="en-GB"/>
          <w14:ligatures w14:val="none"/>
        </w:rPr>
      </w:pPr>
    </w:p>
    <w:p w14:paraId="127DD6D1" w14:textId="77777777" w:rsidR="00C76BDD" w:rsidRPr="00770DEF"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770DEF">
        <w:rPr>
          <w:rFonts w:ascii="Arial" w:eastAsia="Times New Roman" w:hAnsi="Arial" w:cs="Arial"/>
          <w:kern w:val="0"/>
          <w:sz w:val="24"/>
          <w:szCs w:val="24"/>
          <w:lang w:eastAsia="en-GB"/>
          <w14:ligatures w14:val="none"/>
        </w:rPr>
        <w:t>The Vice-Chancellor’s base salary is reviewed in line with national pay awards for the Higher Education sector. Where supported by evidence, the Remuneration Committee may, at its discretion, agreed a consolidated increase to the Vice-Chancellor’s base pay.  Any such increase would be reported through the financial accounts in the following year. </w:t>
      </w:r>
    </w:p>
    <w:p w14:paraId="2CD56BD2" w14:textId="77777777" w:rsidR="00770DEF" w:rsidRPr="00C76BDD" w:rsidRDefault="00770DEF" w:rsidP="00C76BDD">
      <w:pPr>
        <w:spacing w:after="0" w:line="240" w:lineRule="auto"/>
        <w:jc w:val="both"/>
        <w:textAlignment w:val="baseline"/>
        <w:rPr>
          <w:rFonts w:ascii="Segoe UI" w:eastAsia="Times New Roman" w:hAnsi="Segoe UI" w:cs="Segoe UI"/>
          <w:color w:val="002D56"/>
          <w:kern w:val="0"/>
          <w:sz w:val="18"/>
          <w:szCs w:val="18"/>
          <w:lang w:eastAsia="en-GB"/>
          <w14:ligatures w14:val="none"/>
        </w:rPr>
      </w:pPr>
    </w:p>
    <w:p w14:paraId="00A6BE63" w14:textId="77777777" w:rsidR="00C76BDD" w:rsidRPr="00770DEF" w:rsidRDefault="00C76BDD" w:rsidP="00C76BDD">
      <w:pPr>
        <w:spacing w:after="0" w:line="240" w:lineRule="auto"/>
        <w:jc w:val="both"/>
        <w:textAlignment w:val="baseline"/>
        <w:rPr>
          <w:rFonts w:ascii="Segoe UI" w:eastAsia="Times New Roman" w:hAnsi="Segoe UI" w:cs="Segoe UI"/>
          <w:color w:val="002D56"/>
          <w:kern w:val="0"/>
          <w:sz w:val="24"/>
          <w:szCs w:val="24"/>
          <w:lang w:eastAsia="en-GB"/>
          <w14:ligatures w14:val="none"/>
        </w:rPr>
      </w:pPr>
      <w:r w:rsidRPr="00770DEF">
        <w:rPr>
          <w:rFonts w:ascii="Arial" w:eastAsia="Times New Roman" w:hAnsi="Arial" w:cs="Arial"/>
          <w:kern w:val="0"/>
          <w:sz w:val="24"/>
          <w:szCs w:val="24"/>
          <w:lang w:eastAsia="en-GB"/>
          <w14:ligatures w14:val="none"/>
        </w:rPr>
        <w:t>The University does not operate a performance related bonus scheme. </w:t>
      </w:r>
    </w:p>
    <w:p w14:paraId="17E280C2" w14:textId="77777777" w:rsidR="00C76BDD" w:rsidRPr="00C76BDD" w:rsidRDefault="00C76BDD" w:rsidP="00C76BDD">
      <w:pPr>
        <w:spacing w:after="0" w:line="240" w:lineRule="auto"/>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color w:val="FF0000"/>
          <w:kern w:val="0"/>
          <w:sz w:val="20"/>
          <w:szCs w:val="20"/>
          <w:lang w:eastAsia="en-GB"/>
          <w14:ligatures w14:val="none"/>
        </w:rPr>
        <w:t> </w:t>
      </w:r>
    </w:p>
    <w:p w14:paraId="67724D12" w14:textId="77777777" w:rsidR="00C76BDD" w:rsidRPr="00C76BDD" w:rsidRDefault="00C76BDD" w:rsidP="00C76BDD">
      <w:pPr>
        <w:spacing w:after="0" w:line="240" w:lineRule="auto"/>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color w:val="FF0000"/>
          <w:kern w:val="0"/>
          <w:sz w:val="20"/>
          <w:szCs w:val="20"/>
          <w:lang w:eastAsia="en-GB"/>
          <w14:ligatures w14:val="none"/>
        </w:rPr>
        <w:t> </w:t>
      </w:r>
    </w:p>
    <w:p w14:paraId="12B6EAC9" w14:textId="574A4859" w:rsidR="00C76BDD" w:rsidRPr="00B402BA" w:rsidRDefault="00C76BDD" w:rsidP="00C76BDD">
      <w:pPr>
        <w:spacing w:after="0" w:line="240" w:lineRule="auto"/>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color w:val="FF0000"/>
          <w:kern w:val="0"/>
          <w:sz w:val="20"/>
          <w:szCs w:val="20"/>
          <w:lang w:eastAsia="en-GB"/>
          <w14:ligatures w14:val="none"/>
        </w:rPr>
        <w:t> </w:t>
      </w:r>
    </w:p>
    <w:p w14:paraId="0E59CF07" w14:textId="77777777" w:rsidR="00C76BDD" w:rsidRPr="00C76BDD" w:rsidRDefault="00C76BDD" w:rsidP="00C76BDD">
      <w:pPr>
        <w:spacing w:after="0" w:line="240" w:lineRule="auto"/>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kern w:val="0"/>
          <w:sz w:val="20"/>
          <w:szCs w:val="20"/>
          <w:lang w:eastAsia="en-GB"/>
          <w14:ligatures w14:val="none"/>
        </w:rPr>
        <w:t>The Vice-Chancellor's Reward package is detailed below. </w:t>
      </w:r>
    </w:p>
    <w:p w14:paraId="26680740" w14:textId="77777777" w:rsidR="00C76BDD" w:rsidRPr="00C76BDD" w:rsidRDefault="00C76BDD" w:rsidP="00C76BDD">
      <w:pPr>
        <w:spacing w:after="0" w:line="240" w:lineRule="auto"/>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color w:val="FF0000"/>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C76BDD" w:rsidRPr="00C76BDD" w14:paraId="63382A20" w14:textId="77777777" w:rsidTr="78FF34B9">
        <w:trPr>
          <w:trHeight w:val="300"/>
        </w:trPr>
        <w:tc>
          <w:tcPr>
            <w:tcW w:w="2250" w:type="dxa"/>
            <w:tcBorders>
              <w:top w:val="nil"/>
              <w:left w:val="nil"/>
              <w:bottom w:val="nil"/>
              <w:right w:val="nil"/>
            </w:tcBorders>
            <w:shd w:val="clear" w:color="auto" w:fill="auto"/>
            <w:hideMark/>
          </w:tcPr>
          <w:p w14:paraId="7FEAF591" w14:textId="77777777" w:rsidR="00C76BDD" w:rsidRPr="00C76BDD" w:rsidRDefault="00C76BDD" w:rsidP="00C76BDD">
            <w:pPr>
              <w:spacing w:after="0" w:line="240" w:lineRule="auto"/>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color w:val="FF0000"/>
                <w:kern w:val="0"/>
                <w:sz w:val="20"/>
                <w:szCs w:val="20"/>
                <w:lang w:eastAsia="en-GB"/>
                <w14:ligatures w14:val="none"/>
              </w:rPr>
              <w:t> </w:t>
            </w:r>
          </w:p>
        </w:tc>
        <w:tc>
          <w:tcPr>
            <w:tcW w:w="2250" w:type="dxa"/>
            <w:tcBorders>
              <w:top w:val="nil"/>
              <w:left w:val="nil"/>
              <w:bottom w:val="nil"/>
              <w:right w:val="nil"/>
            </w:tcBorders>
            <w:shd w:val="clear" w:color="auto" w:fill="auto"/>
            <w:vAlign w:val="center"/>
            <w:hideMark/>
          </w:tcPr>
          <w:p w14:paraId="73DBBB47"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VC from 01.02.2024 </w:t>
            </w:r>
          </w:p>
          <w:p w14:paraId="4FAC7985"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Year Ended 31 July 2024 </w:t>
            </w:r>
          </w:p>
        </w:tc>
        <w:tc>
          <w:tcPr>
            <w:tcW w:w="2250" w:type="dxa"/>
            <w:tcBorders>
              <w:top w:val="nil"/>
              <w:left w:val="nil"/>
              <w:bottom w:val="nil"/>
              <w:right w:val="nil"/>
            </w:tcBorders>
            <w:shd w:val="clear" w:color="auto" w:fill="auto"/>
            <w:vAlign w:val="center"/>
            <w:hideMark/>
          </w:tcPr>
          <w:p w14:paraId="26BEBE5B"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VC until 31.01.2024 </w:t>
            </w:r>
          </w:p>
          <w:p w14:paraId="7E997721"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Year Ended 31 July 2024 </w:t>
            </w:r>
          </w:p>
        </w:tc>
        <w:tc>
          <w:tcPr>
            <w:tcW w:w="2250" w:type="dxa"/>
            <w:tcBorders>
              <w:top w:val="nil"/>
              <w:left w:val="nil"/>
              <w:bottom w:val="nil"/>
              <w:right w:val="nil"/>
            </w:tcBorders>
            <w:shd w:val="clear" w:color="auto" w:fill="auto"/>
            <w:vAlign w:val="center"/>
            <w:hideMark/>
          </w:tcPr>
          <w:p w14:paraId="607C3787"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VC until 31.01.2024 </w:t>
            </w:r>
          </w:p>
          <w:p w14:paraId="186B30B4"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Year Ended 31 July 2023 </w:t>
            </w:r>
          </w:p>
        </w:tc>
      </w:tr>
      <w:tr w:rsidR="00C76BDD" w:rsidRPr="00C76BDD" w14:paraId="55A6CCC0" w14:textId="77777777" w:rsidTr="78FF34B9">
        <w:trPr>
          <w:trHeight w:val="300"/>
        </w:trPr>
        <w:tc>
          <w:tcPr>
            <w:tcW w:w="2250" w:type="dxa"/>
            <w:tcBorders>
              <w:top w:val="nil"/>
              <w:left w:val="nil"/>
              <w:bottom w:val="nil"/>
              <w:right w:val="nil"/>
            </w:tcBorders>
            <w:shd w:val="clear" w:color="auto" w:fill="auto"/>
            <w:hideMark/>
          </w:tcPr>
          <w:p w14:paraId="7CB50B6D" w14:textId="77777777" w:rsidR="00C76BDD" w:rsidRPr="00C76BDD" w:rsidRDefault="00C76BDD" w:rsidP="00C76BDD">
            <w:pPr>
              <w:spacing w:after="0" w:line="240" w:lineRule="auto"/>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Emoluments of the Vice-Chancellor </w:t>
            </w:r>
          </w:p>
        </w:tc>
        <w:tc>
          <w:tcPr>
            <w:tcW w:w="2250" w:type="dxa"/>
            <w:tcBorders>
              <w:top w:val="nil"/>
              <w:left w:val="nil"/>
              <w:bottom w:val="nil"/>
              <w:right w:val="nil"/>
            </w:tcBorders>
            <w:shd w:val="clear" w:color="auto" w:fill="auto"/>
            <w:vAlign w:val="center"/>
            <w:hideMark/>
          </w:tcPr>
          <w:p w14:paraId="488453D3"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 </w:t>
            </w:r>
          </w:p>
        </w:tc>
        <w:tc>
          <w:tcPr>
            <w:tcW w:w="2250" w:type="dxa"/>
            <w:tcBorders>
              <w:top w:val="nil"/>
              <w:left w:val="nil"/>
              <w:bottom w:val="nil"/>
              <w:right w:val="nil"/>
            </w:tcBorders>
            <w:shd w:val="clear" w:color="auto" w:fill="auto"/>
            <w:vAlign w:val="center"/>
            <w:hideMark/>
          </w:tcPr>
          <w:p w14:paraId="1790AFFA"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 </w:t>
            </w:r>
          </w:p>
        </w:tc>
        <w:tc>
          <w:tcPr>
            <w:tcW w:w="2250" w:type="dxa"/>
            <w:tcBorders>
              <w:top w:val="nil"/>
              <w:left w:val="nil"/>
              <w:bottom w:val="nil"/>
              <w:right w:val="nil"/>
            </w:tcBorders>
            <w:shd w:val="clear" w:color="auto" w:fill="auto"/>
            <w:vAlign w:val="center"/>
            <w:hideMark/>
          </w:tcPr>
          <w:p w14:paraId="24BBD9FF"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 </w:t>
            </w:r>
          </w:p>
        </w:tc>
      </w:tr>
      <w:tr w:rsidR="00C76BDD" w:rsidRPr="00C76BDD" w14:paraId="46C429B7" w14:textId="77777777" w:rsidTr="78FF34B9">
        <w:trPr>
          <w:trHeight w:val="300"/>
        </w:trPr>
        <w:tc>
          <w:tcPr>
            <w:tcW w:w="2250" w:type="dxa"/>
            <w:tcBorders>
              <w:top w:val="nil"/>
              <w:left w:val="nil"/>
              <w:bottom w:val="nil"/>
              <w:right w:val="nil"/>
            </w:tcBorders>
            <w:shd w:val="clear" w:color="auto" w:fill="auto"/>
            <w:hideMark/>
          </w:tcPr>
          <w:p w14:paraId="7B09B5AB" w14:textId="77777777" w:rsidR="00C76BDD" w:rsidRPr="00C76BDD" w:rsidRDefault="00C76BDD" w:rsidP="00C76BDD">
            <w:pPr>
              <w:spacing w:after="0" w:line="240" w:lineRule="auto"/>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 </w:t>
            </w:r>
          </w:p>
        </w:tc>
        <w:tc>
          <w:tcPr>
            <w:tcW w:w="2250" w:type="dxa"/>
            <w:tcBorders>
              <w:top w:val="nil"/>
              <w:left w:val="nil"/>
              <w:bottom w:val="nil"/>
              <w:right w:val="nil"/>
            </w:tcBorders>
            <w:shd w:val="clear" w:color="auto" w:fill="auto"/>
            <w:vAlign w:val="center"/>
            <w:hideMark/>
          </w:tcPr>
          <w:p w14:paraId="3E8B4BBF"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 </w:t>
            </w:r>
          </w:p>
        </w:tc>
        <w:tc>
          <w:tcPr>
            <w:tcW w:w="2250" w:type="dxa"/>
            <w:tcBorders>
              <w:top w:val="nil"/>
              <w:left w:val="nil"/>
              <w:bottom w:val="nil"/>
              <w:right w:val="nil"/>
            </w:tcBorders>
            <w:shd w:val="clear" w:color="auto" w:fill="auto"/>
            <w:vAlign w:val="center"/>
            <w:hideMark/>
          </w:tcPr>
          <w:p w14:paraId="00E5A426"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 </w:t>
            </w:r>
          </w:p>
        </w:tc>
        <w:tc>
          <w:tcPr>
            <w:tcW w:w="2250" w:type="dxa"/>
            <w:tcBorders>
              <w:top w:val="nil"/>
              <w:left w:val="nil"/>
              <w:bottom w:val="nil"/>
              <w:right w:val="nil"/>
            </w:tcBorders>
            <w:shd w:val="clear" w:color="auto" w:fill="auto"/>
            <w:vAlign w:val="center"/>
            <w:hideMark/>
          </w:tcPr>
          <w:p w14:paraId="04D6FD68"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 </w:t>
            </w:r>
          </w:p>
        </w:tc>
      </w:tr>
      <w:tr w:rsidR="00C76BDD" w:rsidRPr="00C76BDD" w14:paraId="63916146" w14:textId="77777777" w:rsidTr="78FF34B9">
        <w:trPr>
          <w:trHeight w:val="300"/>
        </w:trPr>
        <w:tc>
          <w:tcPr>
            <w:tcW w:w="2250" w:type="dxa"/>
            <w:tcBorders>
              <w:top w:val="nil"/>
              <w:left w:val="nil"/>
              <w:bottom w:val="nil"/>
              <w:right w:val="nil"/>
            </w:tcBorders>
            <w:shd w:val="clear" w:color="auto" w:fill="auto"/>
            <w:hideMark/>
          </w:tcPr>
          <w:p w14:paraId="6E8139E3" w14:textId="77777777" w:rsidR="00C76BDD" w:rsidRPr="00C76BDD" w:rsidRDefault="00C76BDD" w:rsidP="00C76BDD">
            <w:pPr>
              <w:spacing w:after="0" w:line="240" w:lineRule="auto"/>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Salary </w:t>
            </w:r>
          </w:p>
        </w:tc>
        <w:tc>
          <w:tcPr>
            <w:tcW w:w="2250" w:type="dxa"/>
            <w:tcBorders>
              <w:top w:val="nil"/>
              <w:left w:val="nil"/>
              <w:bottom w:val="nil"/>
              <w:right w:val="nil"/>
            </w:tcBorders>
            <w:shd w:val="clear" w:color="auto" w:fill="auto"/>
            <w:vAlign w:val="center"/>
            <w:hideMark/>
          </w:tcPr>
          <w:p w14:paraId="6E96A356"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130,000 </w:t>
            </w:r>
          </w:p>
        </w:tc>
        <w:tc>
          <w:tcPr>
            <w:tcW w:w="2250" w:type="dxa"/>
            <w:tcBorders>
              <w:top w:val="nil"/>
              <w:left w:val="nil"/>
              <w:bottom w:val="nil"/>
              <w:right w:val="nil"/>
            </w:tcBorders>
            <w:shd w:val="clear" w:color="auto" w:fill="auto"/>
            <w:vAlign w:val="center"/>
            <w:hideMark/>
          </w:tcPr>
          <w:p w14:paraId="24050D69"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145,084 </w:t>
            </w:r>
          </w:p>
        </w:tc>
        <w:tc>
          <w:tcPr>
            <w:tcW w:w="2250" w:type="dxa"/>
            <w:tcBorders>
              <w:top w:val="nil"/>
              <w:left w:val="nil"/>
              <w:bottom w:val="nil"/>
              <w:right w:val="nil"/>
            </w:tcBorders>
            <w:shd w:val="clear" w:color="auto" w:fill="auto"/>
            <w:vAlign w:val="center"/>
            <w:hideMark/>
          </w:tcPr>
          <w:p w14:paraId="70E02FA9"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268,476 </w:t>
            </w:r>
          </w:p>
        </w:tc>
      </w:tr>
      <w:tr w:rsidR="00C76BDD" w:rsidRPr="00C76BDD" w14:paraId="52F1BE4B" w14:textId="77777777" w:rsidTr="78FF34B9">
        <w:trPr>
          <w:trHeight w:val="300"/>
        </w:trPr>
        <w:tc>
          <w:tcPr>
            <w:tcW w:w="2250" w:type="dxa"/>
            <w:tcBorders>
              <w:top w:val="nil"/>
              <w:left w:val="nil"/>
              <w:bottom w:val="nil"/>
              <w:right w:val="nil"/>
            </w:tcBorders>
            <w:shd w:val="clear" w:color="auto" w:fill="auto"/>
            <w:hideMark/>
          </w:tcPr>
          <w:p w14:paraId="5B4DB66F" w14:textId="77777777" w:rsidR="00C76BDD" w:rsidRPr="00C76BDD" w:rsidRDefault="00C76BDD" w:rsidP="00C76BDD">
            <w:pPr>
              <w:spacing w:after="0" w:line="240" w:lineRule="auto"/>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Payments in lieu of pension contributions </w:t>
            </w:r>
          </w:p>
        </w:tc>
        <w:tc>
          <w:tcPr>
            <w:tcW w:w="2250" w:type="dxa"/>
            <w:tcBorders>
              <w:top w:val="nil"/>
              <w:left w:val="nil"/>
              <w:bottom w:val="single" w:sz="6" w:space="0" w:color="000000" w:themeColor="text1"/>
              <w:right w:val="nil"/>
            </w:tcBorders>
            <w:shd w:val="clear" w:color="auto" w:fill="auto"/>
            <w:vAlign w:val="center"/>
            <w:hideMark/>
          </w:tcPr>
          <w:p w14:paraId="4F5CB1C4"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 </w:t>
            </w:r>
          </w:p>
        </w:tc>
        <w:tc>
          <w:tcPr>
            <w:tcW w:w="2250" w:type="dxa"/>
            <w:tcBorders>
              <w:top w:val="nil"/>
              <w:left w:val="nil"/>
              <w:bottom w:val="single" w:sz="6" w:space="0" w:color="000000" w:themeColor="text1"/>
              <w:right w:val="nil"/>
            </w:tcBorders>
            <w:shd w:val="clear" w:color="auto" w:fill="auto"/>
            <w:vAlign w:val="center"/>
            <w:hideMark/>
          </w:tcPr>
          <w:p w14:paraId="321C8631"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25,915 </w:t>
            </w:r>
          </w:p>
        </w:tc>
        <w:tc>
          <w:tcPr>
            <w:tcW w:w="2250" w:type="dxa"/>
            <w:tcBorders>
              <w:top w:val="nil"/>
              <w:left w:val="nil"/>
              <w:bottom w:val="single" w:sz="6" w:space="0" w:color="000000" w:themeColor="text1"/>
              <w:right w:val="nil"/>
            </w:tcBorders>
            <w:shd w:val="clear" w:color="auto" w:fill="auto"/>
            <w:vAlign w:val="center"/>
            <w:hideMark/>
          </w:tcPr>
          <w:p w14:paraId="0B54E56A"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49,719 </w:t>
            </w:r>
          </w:p>
        </w:tc>
      </w:tr>
      <w:tr w:rsidR="00C76BDD" w:rsidRPr="00C76BDD" w14:paraId="2243EB28" w14:textId="77777777" w:rsidTr="78FF34B9">
        <w:trPr>
          <w:trHeight w:val="300"/>
        </w:trPr>
        <w:tc>
          <w:tcPr>
            <w:tcW w:w="2250" w:type="dxa"/>
            <w:tcBorders>
              <w:top w:val="nil"/>
              <w:left w:val="nil"/>
              <w:bottom w:val="nil"/>
              <w:right w:val="nil"/>
            </w:tcBorders>
            <w:shd w:val="clear" w:color="auto" w:fill="auto"/>
            <w:hideMark/>
          </w:tcPr>
          <w:p w14:paraId="1F1E1239" w14:textId="77777777" w:rsidR="00C76BDD" w:rsidRPr="00C76BDD" w:rsidRDefault="00C76BDD" w:rsidP="00C76BDD">
            <w:pPr>
              <w:spacing w:after="0" w:line="240" w:lineRule="auto"/>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color w:val="FF0000"/>
                <w:kern w:val="0"/>
                <w:sz w:val="20"/>
                <w:szCs w:val="20"/>
                <w:lang w:eastAsia="en-GB"/>
                <w14:ligatures w14:val="none"/>
              </w:rPr>
              <w:t> </w:t>
            </w:r>
          </w:p>
        </w:tc>
        <w:tc>
          <w:tcPr>
            <w:tcW w:w="2250" w:type="dxa"/>
            <w:tcBorders>
              <w:top w:val="single" w:sz="6" w:space="0" w:color="000000" w:themeColor="text1"/>
              <w:left w:val="nil"/>
              <w:bottom w:val="double" w:sz="6" w:space="0" w:color="000000" w:themeColor="text1"/>
              <w:right w:val="nil"/>
            </w:tcBorders>
            <w:shd w:val="clear" w:color="auto" w:fill="auto"/>
            <w:vAlign w:val="center"/>
            <w:hideMark/>
          </w:tcPr>
          <w:p w14:paraId="5FADD96A"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130,000 </w:t>
            </w:r>
          </w:p>
        </w:tc>
        <w:tc>
          <w:tcPr>
            <w:tcW w:w="2250" w:type="dxa"/>
            <w:tcBorders>
              <w:top w:val="single" w:sz="6" w:space="0" w:color="000000" w:themeColor="text1"/>
              <w:left w:val="nil"/>
              <w:bottom w:val="double" w:sz="6" w:space="0" w:color="000000" w:themeColor="text1"/>
              <w:right w:val="nil"/>
            </w:tcBorders>
            <w:shd w:val="clear" w:color="auto" w:fill="auto"/>
            <w:vAlign w:val="center"/>
            <w:hideMark/>
          </w:tcPr>
          <w:p w14:paraId="2B7AA701"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170,999 </w:t>
            </w:r>
          </w:p>
        </w:tc>
        <w:tc>
          <w:tcPr>
            <w:tcW w:w="2250" w:type="dxa"/>
            <w:tcBorders>
              <w:top w:val="single" w:sz="6" w:space="0" w:color="000000" w:themeColor="text1"/>
              <w:left w:val="nil"/>
              <w:bottom w:val="double" w:sz="6" w:space="0" w:color="000000" w:themeColor="text1"/>
              <w:right w:val="nil"/>
            </w:tcBorders>
            <w:shd w:val="clear" w:color="auto" w:fill="auto"/>
            <w:vAlign w:val="center"/>
            <w:hideMark/>
          </w:tcPr>
          <w:p w14:paraId="1B658FA2" w14:textId="77777777" w:rsidR="00C76BDD" w:rsidRPr="00C76BDD" w:rsidRDefault="00C76BDD" w:rsidP="00C76BDD">
            <w:pPr>
              <w:spacing w:after="0" w:line="240" w:lineRule="auto"/>
              <w:jc w:val="right"/>
              <w:textAlignment w:val="baseline"/>
              <w:rPr>
                <w:rFonts w:ascii="Times New Roman" w:eastAsia="Times New Roman" w:hAnsi="Times New Roman" w:cs="Times New Roman"/>
                <w:color w:val="002D56"/>
                <w:kern w:val="0"/>
                <w:sz w:val="24"/>
                <w:szCs w:val="24"/>
                <w:lang w:eastAsia="en-GB"/>
                <w14:ligatures w14:val="none"/>
              </w:rPr>
            </w:pPr>
            <w:r w:rsidRPr="00C76BDD">
              <w:rPr>
                <w:rFonts w:ascii="Arial" w:eastAsia="Times New Roman" w:hAnsi="Arial" w:cs="Arial"/>
                <w:kern w:val="0"/>
                <w:sz w:val="20"/>
                <w:szCs w:val="20"/>
                <w:lang w:eastAsia="en-GB"/>
                <w14:ligatures w14:val="none"/>
              </w:rPr>
              <w:t>318,195 </w:t>
            </w:r>
          </w:p>
        </w:tc>
      </w:tr>
    </w:tbl>
    <w:p w14:paraId="22A124F1" w14:textId="77777777" w:rsidR="00C76BDD" w:rsidRPr="00C76BDD" w:rsidRDefault="00C76BDD" w:rsidP="00C76BDD">
      <w:pPr>
        <w:spacing w:after="0" w:line="240" w:lineRule="auto"/>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color w:val="FF0000"/>
          <w:kern w:val="0"/>
          <w:sz w:val="20"/>
          <w:szCs w:val="20"/>
          <w:lang w:eastAsia="en-GB"/>
          <w14:ligatures w14:val="none"/>
        </w:rPr>
        <w:t> </w:t>
      </w:r>
    </w:p>
    <w:p w14:paraId="1B12E900" w14:textId="77777777" w:rsidR="00C76BDD" w:rsidRPr="00C76BDD" w:rsidRDefault="00C76BDD" w:rsidP="00C76BDD">
      <w:pPr>
        <w:spacing w:after="0" w:line="240" w:lineRule="auto"/>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color w:val="FF0000"/>
          <w:kern w:val="0"/>
          <w:sz w:val="20"/>
          <w:szCs w:val="20"/>
          <w:lang w:eastAsia="en-GB"/>
          <w14:ligatures w14:val="none"/>
        </w:rPr>
        <w:t> </w:t>
      </w:r>
    </w:p>
    <w:p w14:paraId="21428565" w14:textId="0076D54C" w:rsidR="00C436A1" w:rsidRDefault="0004238D" w:rsidP="00C76BDD">
      <w:pPr>
        <w:spacing w:after="0" w:line="240" w:lineRule="auto"/>
        <w:textAlignment w:val="baseline"/>
        <w:rPr>
          <w:rFonts w:ascii="Arial" w:eastAsia="Times New Roman" w:hAnsi="Arial" w:cs="Arial"/>
          <w:kern w:val="0"/>
          <w:sz w:val="24"/>
          <w:szCs w:val="24"/>
          <w:lang w:eastAsia="en-GB"/>
          <w14:ligatures w14:val="none"/>
        </w:rPr>
      </w:pPr>
      <w:r w:rsidRPr="78FF34B9">
        <w:rPr>
          <w:rFonts w:ascii="Arial" w:eastAsia="Times New Roman" w:hAnsi="Arial" w:cs="Arial"/>
          <w:sz w:val="24"/>
          <w:szCs w:val="24"/>
          <w:lang w:eastAsia="en-GB"/>
        </w:rPr>
        <w:t>The</w:t>
      </w:r>
      <w:r w:rsidR="4489E264" w:rsidRPr="78FF34B9">
        <w:rPr>
          <w:rFonts w:ascii="Arial" w:eastAsia="Times New Roman" w:hAnsi="Arial" w:cs="Arial"/>
          <w:sz w:val="24"/>
          <w:szCs w:val="24"/>
          <w:lang w:eastAsia="en-GB"/>
        </w:rPr>
        <w:t xml:space="preserve"> University</w:t>
      </w:r>
      <w:r w:rsidRPr="78FF34B9">
        <w:rPr>
          <w:rFonts w:ascii="Arial" w:eastAsia="Times New Roman" w:hAnsi="Arial" w:cs="Arial"/>
          <w:sz w:val="24"/>
          <w:szCs w:val="24"/>
          <w:lang w:eastAsia="en-GB"/>
        </w:rPr>
        <w:t xml:space="preserve"> has </w:t>
      </w:r>
      <w:r w:rsidR="4489E264" w:rsidRPr="78FF34B9">
        <w:rPr>
          <w:rFonts w:ascii="Arial" w:eastAsia="Times New Roman" w:hAnsi="Arial" w:cs="Arial"/>
          <w:sz w:val="24"/>
          <w:szCs w:val="24"/>
          <w:lang w:eastAsia="en-GB"/>
        </w:rPr>
        <w:t>had</w:t>
      </w:r>
      <w:r w:rsidRPr="78FF34B9">
        <w:rPr>
          <w:rFonts w:ascii="Arial" w:eastAsia="Times New Roman" w:hAnsi="Arial" w:cs="Arial"/>
          <w:sz w:val="24"/>
          <w:szCs w:val="24"/>
          <w:lang w:eastAsia="en-GB"/>
        </w:rPr>
        <w:t xml:space="preserve"> two Vice-Chancellors in the period 2023/24.</w:t>
      </w:r>
      <w:r w:rsidR="0034644C" w:rsidRPr="78FF34B9">
        <w:rPr>
          <w:rFonts w:ascii="Arial" w:eastAsia="Times New Roman" w:hAnsi="Arial" w:cs="Arial"/>
          <w:sz w:val="24"/>
          <w:szCs w:val="24"/>
          <w:lang w:eastAsia="en-GB"/>
        </w:rPr>
        <w:t xml:space="preserve"> </w:t>
      </w:r>
    </w:p>
    <w:p w14:paraId="0EAF3CA3" w14:textId="77777777" w:rsidR="00C436A1" w:rsidRDefault="00C436A1" w:rsidP="00C76BDD">
      <w:pPr>
        <w:spacing w:after="0" w:line="240" w:lineRule="auto"/>
        <w:textAlignment w:val="baseline"/>
        <w:rPr>
          <w:rFonts w:ascii="Arial" w:eastAsia="Times New Roman" w:hAnsi="Arial" w:cs="Arial"/>
          <w:kern w:val="0"/>
          <w:sz w:val="24"/>
          <w:szCs w:val="24"/>
          <w:lang w:eastAsia="en-GB"/>
          <w14:ligatures w14:val="none"/>
        </w:rPr>
      </w:pPr>
    </w:p>
    <w:p w14:paraId="3F81685C" w14:textId="100443F1" w:rsidR="00C76BDD" w:rsidRPr="00A35428" w:rsidRDefault="00C76BDD" w:rsidP="00C76BDD">
      <w:pPr>
        <w:spacing w:after="0" w:line="240" w:lineRule="auto"/>
        <w:textAlignment w:val="baseline"/>
        <w:rPr>
          <w:rFonts w:ascii="Segoe UI" w:eastAsia="Times New Roman" w:hAnsi="Segoe UI" w:cs="Segoe UI"/>
          <w:color w:val="002D56"/>
          <w:kern w:val="0"/>
          <w:sz w:val="24"/>
          <w:szCs w:val="24"/>
          <w:lang w:eastAsia="en-GB"/>
          <w14:ligatures w14:val="none"/>
        </w:rPr>
      </w:pPr>
      <w:r w:rsidRPr="00A35428">
        <w:rPr>
          <w:rFonts w:ascii="Arial" w:eastAsia="Times New Roman" w:hAnsi="Arial" w:cs="Arial"/>
          <w:kern w:val="0"/>
          <w:sz w:val="24"/>
          <w:szCs w:val="24"/>
          <w:lang w:eastAsia="en-GB"/>
          <w14:ligatures w14:val="none"/>
        </w:rPr>
        <w:t>The Vice-Chancellor's basic salary in 2023-24 is 6.0 times the median pay of staff, compared to 6.4 times in 2022-23.  The staff median salary in 2023-24 is £42,978. </w:t>
      </w:r>
    </w:p>
    <w:p w14:paraId="628D7693" w14:textId="77777777" w:rsidR="00C76BDD" w:rsidRPr="00A35428" w:rsidRDefault="00C76BDD" w:rsidP="00C76BDD">
      <w:pPr>
        <w:spacing w:after="0" w:line="240" w:lineRule="auto"/>
        <w:textAlignment w:val="baseline"/>
        <w:rPr>
          <w:rFonts w:ascii="Segoe UI" w:eastAsia="Times New Roman" w:hAnsi="Segoe UI" w:cs="Segoe UI"/>
          <w:color w:val="002D56"/>
          <w:kern w:val="0"/>
          <w:sz w:val="24"/>
          <w:szCs w:val="24"/>
          <w:lang w:eastAsia="en-GB"/>
          <w14:ligatures w14:val="none"/>
        </w:rPr>
      </w:pPr>
      <w:r w:rsidRPr="00A35428">
        <w:rPr>
          <w:rFonts w:ascii="Arial" w:eastAsia="Times New Roman" w:hAnsi="Arial" w:cs="Arial"/>
          <w:kern w:val="0"/>
          <w:sz w:val="24"/>
          <w:szCs w:val="24"/>
          <w:lang w:eastAsia="en-GB"/>
          <w14:ligatures w14:val="none"/>
        </w:rPr>
        <w:t>The Vice-Chancellor's total remuneration is 6.0</w:t>
      </w:r>
      <w:r w:rsidRPr="00A35428">
        <w:rPr>
          <w:rFonts w:ascii="Arial" w:eastAsia="Times New Roman" w:hAnsi="Arial" w:cs="Arial"/>
          <w:color w:val="FF0000"/>
          <w:kern w:val="0"/>
          <w:sz w:val="24"/>
          <w:szCs w:val="24"/>
          <w:lang w:eastAsia="en-GB"/>
          <w14:ligatures w14:val="none"/>
        </w:rPr>
        <w:t xml:space="preserve"> </w:t>
      </w:r>
      <w:r w:rsidRPr="00A35428">
        <w:rPr>
          <w:rFonts w:ascii="Arial" w:eastAsia="Times New Roman" w:hAnsi="Arial" w:cs="Arial"/>
          <w:kern w:val="0"/>
          <w:sz w:val="24"/>
          <w:szCs w:val="24"/>
          <w:lang w:eastAsia="en-GB"/>
          <w14:ligatures w14:val="none"/>
        </w:rPr>
        <w:t>times the median pay of staff, compared to 7.5 times in 2022-23. The staff median total remuneration in 2023-24 is £43,587.   </w:t>
      </w:r>
    </w:p>
    <w:p w14:paraId="680AC77B" w14:textId="77777777" w:rsidR="00C76BDD" w:rsidRPr="00C76BDD" w:rsidRDefault="00C76BDD" w:rsidP="00C76BDD">
      <w:pPr>
        <w:spacing w:after="0" w:line="240" w:lineRule="auto"/>
        <w:textAlignment w:val="baseline"/>
        <w:rPr>
          <w:rFonts w:ascii="Segoe UI" w:eastAsia="Times New Roman" w:hAnsi="Segoe UI" w:cs="Segoe UI"/>
          <w:color w:val="002D56"/>
          <w:kern w:val="0"/>
          <w:sz w:val="18"/>
          <w:szCs w:val="18"/>
          <w:lang w:eastAsia="en-GB"/>
          <w14:ligatures w14:val="none"/>
        </w:rPr>
      </w:pPr>
      <w:r w:rsidRPr="00C76BDD">
        <w:rPr>
          <w:rFonts w:ascii="Arial" w:eastAsia="Times New Roman" w:hAnsi="Arial" w:cs="Arial"/>
          <w:kern w:val="0"/>
          <w:sz w:val="20"/>
          <w:szCs w:val="20"/>
          <w:lang w:eastAsia="en-GB"/>
          <w14:ligatures w14:val="none"/>
        </w:rPr>
        <w:t> </w:t>
      </w:r>
    </w:p>
    <w:p w14:paraId="0093B0F9" w14:textId="77777777" w:rsidR="00C76BDD" w:rsidRPr="00A35428" w:rsidRDefault="00C76BDD" w:rsidP="00C76BDD">
      <w:pPr>
        <w:spacing w:after="0" w:line="240" w:lineRule="auto"/>
        <w:textAlignment w:val="baseline"/>
        <w:rPr>
          <w:rFonts w:ascii="Arial" w:eastAsia="Times New Roman" w:hAnsi="Arial" w:cs="Arial"/>
          <w:kern w:val="0"/>
          <w:sz w:val="24"/>
          <w:szCs w:val="24"/>
          <w:lang w:eastAsia="en-GB"/>
          <w14:ligatures w14:val="none"/>
        </w:rPr>
      </w:pPr>
      <w:r w:rsidRPr="00A35428">
        <w:rPr>
          <w:rFonts w:ascii="Arial" w:eastAsia="Times New Roman" w:hAnsi="Arial" w:cs="Arial"/>
          <w:kern w:val="0"/>
          <w:sz w:val="24"/>
          <w:szCs w:val="24"/>
          <w:lang w:eastAsia="en-GB"/>
          <w14:ligatures w14:val="none"/>
        </w:rPr>
        <w:t>The former Vice-Chancellor's basic salary in 2023-24 is 6.8 times the median pay of staff, compared to 6.4 times in 2022-23.  The staff median salary in 2023-24 is £42,978. </w:t>
      </w:r>
    </w:p>
    <w:p w14:paraId="5210475A" w14:textId="77777777" w:rsidR="00A35428" w:rsidRPr="00A35428" w:rsidRDefault="00A35428" w:rsidP="00C76BDD">
      <w:pPr>
        <w:spacing w:after="0" w:line="240" w:lineRule="auto"/>
        <w:textAlignment w:val="baseline"/>
        <w:rPr>
          <w:rFonts w:ascii="Segoe UI" w:eastAsia="Times New Roman" w:hAnsi="Segoe UI" w:cs="Segoe UI"/>
          <w:color w:val="002D56"/>
          <w:kern w:val="0"/>
          <w:sz w:val="24"/>
          <w:szCs w:val="24"/>
          <w:lang w:eastAsia="en-GB"/>
          <w14:ligatures w14:val="none"/>
        </w:rPr>
      </w:pPr>
    </w:p>
    <w:p w14:paraId="3CF8FA87" w14:textId="77777777" w:rsidR="00C76BDD" w:rsidRDefault="00C76BDD" w:rsidP="00C76BDD">
      <w:pPr>
        <w:spacing w:after="0" w:line="240" w:lineRule="auto"/>
        <w:textAlignment w:val="baseline"/>
        <w:rPr>
          <w:rFonts w:ascii="Arial" w:eastAsia="Times New Roman" w:hAnsi="Arial" w:cs="Arial"/>
          <w:kern w:val="0"/>
          <w:sz w:val="24"/>
          <w:szCs w:val="24"/>
          <w:lang w:eastAsia="en-GB"/>
          <w14:ligatures w14:val="none"/>
        </w:rPr>
      </w:pPr>
      <w:r w:rsidRPr="00A35428">
        <w:rPr>
          <w:rFonts w:ascii="Arial" w:eastAsia="Times New Roman" w:hAnsi="Arial" w:cs="Arial"/>
          <w:kern w:val="0"/>
          <w:sz w:val="24"/>
          <w:szCs w:val="24"/>
          <w:lang w:eastAsia="en-GB"/>
          <w14:ligatures w14:val="none"/>
        </w:rPr>
        <w:t>The former Vice-Chancellor's total remuneration is 7.8</w:t>
      </w:r>
      <w:r w:rsidRPr="00A35428">
        <w:rPr>
          <w:rFonts w:ascii="Arial" w:eastAsia="Times New Roman" w:hAnsi="Arial" w:cs="Arial"/>
          <w:color w:val="FF0000"/>
          <w:kern w:val="0"/>
          <w:sz w:val="24"/>
          <w:szCs w:val="24"/>
          <w:lang w:eastAsia="en-GB"/>
          <w14:ligatures w14:val="none"/>
        </w:rPr>
        <w:t xml:space="preserve"> </w:t>
      </w:r>
      <w:r w:rsidRPr="00A35428">
        <w:rPr>
          <w:rFonts w:ascii="Arial" w:eastAsia="Times New Roman" w:hAnsi="Arial" w:cs="Arial"/>
          <w:kern w:val="0"/>
          <w:sz w:val="24"/>
          <w:szCs w:val="24"/>
          <w:lang w:eastAsia="en-GB"/>
          <w14:ligatures w14:val="none"/>
        </w:rPr>
        <w:t>times the median pay of staff, compared to 7.5 times in 2022-23. The staff median total remuneration in 2023-24 is £43,587.  </w:t>
      </w:r>
    </w:p>
    <w:p w14:paraId="5895BB40" w14:textId="77777777" w:rsidR="00987405" w:rsidRPr="00A35428" w:rsidRDefault="00987405" w:rsidP="00C76BDD">
      <w:pPr>
        <w:spacing w:after="0" w:line="240" w:lineRule="auto"/>
        <w:textAlignment w:val="baseline"/>
        <w:rPr>
          <w:rFonts w:ascii="Segoe UI" w:eastAsia="Times New Roman" w:hAnsi="Segoe UI" w:cs="Segoe UI"/>
          <w:color w:val="002D56"/>
          <w:kern w:val="0"/>
          <w:sz w:val="24"/>
          <w:szCs w:val="24"/>
          <w:lang w:eastAsia="en-GB"/>
          <w14:ligatures w14:val="none"/>
        </w:rPr>
      </w:pPr>
    </w:p>
    <w:p w14:paraId="36AFDE1E" w14:textId="77777777" w:rsidR="00C76BDD" w:rsidRPr="00A35428"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A35428">
        <w:rPr>
          <w:rFonts w:ascii="Arial" w:eastAsia="Times New Roman" w:hAnsi="Arial" w:cs="Arial"/>
          <w:kern w:val="0"/>
          <w:sz w:val="24"/>
          <w:szCs w:val="24"/>
          <w:lang w:eastAsia="en-GB"/>
          <w14:ligatures w14:val="none"/>
        </w:rPr>
        <w:t>The former Vice-Chancellor was under opt out arrangements within the Universities Superannuation Scheme (the USS). The current Vice-Chancellor does not have opt out arrangements from the pension scheme.  </w:t>
      </w:r>
    </w:p>
    <w:p w14:paraId="4BCE323B" w14:textId="77777777" w:rsidR="00A35428" w:rsidRPr="00C76BDD" w:rsidRDefault="00A35428" w:rsidP="00C76BDD">
      <w:pPr>
        <w:spacing w:after="0" w:line="240" w:lineRule="auto"/>
        <w:jc w:val="both"/>
        <w:textAlignment w:val="baseline"/>
        <w:rPr>
          <w:rFonts w:ascii="Segoe UI" w:eastAsia="Times New Roman" w:hAnsi="Segoe UI" w:cs="Segoe UI"/>
          <w:color w:val="002D56"/>
          <w:kern w:val="0"/>
          <w:sz w:val="18"/>
          <w:szCs w:val="18"/>
          <w:lang w:eastAsia="en-GB"/>
          <w14:ligatures w14:val="none"/>
        </w:rPr>
      </w:pPr>
    </w:p>
    <w:p w14:paraId="5E0973D9" w14:textId="77777777" w:rsidR="00036288" w:rsidRDefault="00036288" w:rsidP="00C76BDD">
      <w:pPr>
        <w:spacing w:after="0" w:line="240" w:lineRule="auto"/>
        <w:jc w:val="both"/>
        <w:textAlignment w:val="baseline"/>
        <w:rPr>
          <w:rFonts w:ascii="Arial" w:eastAsia="Times New Roman" w:hAnsi="Arial" w:cs="Arial"/>
          <w:b/>
          <w:bCs/>
          <w:kern w:val="0"/>
          <w:sz w:val="24"/>
          <w:szCs w:val="24"/>
          <w:lang w:eastAsia="en-GB"/>
          <w14:ligatures w14:val="none"/>
        </w:rPr>
      </w:pPr>
    </w:p>
    <w:p w14:paraId="5401BC7B" w14:textId="77777777" w:rsidR="00036288" w:rsidRDefault="00036288" w:rsidP="00C76BDD">
      <w:pPr>
        <w:spacing w:after="0" w:line="240" w:lineRule="auto"/>
        <w:jc w:val="both"/>
        <w:textAlignment w:val="baseline"/>
        <w:rPr>
          <w:rFonts w:ascii="Arial" w:eastAsia="Times New Roman" w:hAnsi="Arial" w:cs="Arial"/>
          <w:b/>
          <w:bCs/>
          <w:kern w:val="0"/>
          <w:sz w:val="24"/>
          <w:szCs w:val="24"/>
          <w:lang w:eastAsia="en-GB"/>
          <w14:ligatures w14:val="none"/>
        </w:rPr>
      </w:pPr>
    </w:p>
    <w:p w14:paraId="31510BE2" w14:textId="0FBBB649" w:rsidR="00A35428" w:rsidRPr="00036288" w:rsidRDefault="00C76BDD" w:rsidP="00C76BDD">
      <w:pPr>
        <w:spacing w:after="0" w:line="240" w:lineRule="auto"/>
        <w:jc w:val="both"/>
        <w:textAlignment w:val="baseline"/>
        <w:rPr>
          <w:rFonts w:ascii="Arial" w:eastAsia="Times New Roman" w:hAnsi="Arial" w:cs="Arial"/>
          <w:b/>
          <w:bCs/>
          <w:kern w:val="0"/>
          <w:sz w:val="24"/>
          <w:szCs w:val="24"/>
          <w:lang w:eastAsia="en-GB"/>
          <w14:ligatures w14:val="none"/>
        </w:rPr>
      </w:pPr>
      <w:r w:rsidRPr="00A35428">
        <w:rPr>
          <w:rFonts w:ascii="Arial" w:eastAsia="Times New Roman" w:hAnsi="Arial" w:cs="Arial"/>
          <w:b/>
          <w:bCs/>
          <w:kern w:val="0"/>
          <w:sz w:val="24"/>
          <w:szCs w:val="24"/>
          <w:lang w:eastAsia="en-GB"/>
          <w14:ligatures w14:val="none"/>
        </w:rPr>
        <w:lastRenderedPageBreak/>
        <w:t>Senior Staff Remuneration </w:t>
      </w:r>
    </w:p>
    <w:p w14:paraId="6B8D1553" w14:textId="77777777" w:rsidR="00C76BDD" w:rsidRPr="00A35428"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A35428">
        <w:rPr>
          <w:rFonts w:ascii="Arial" w:eastAsia="Times New Roman" w:hAnsi="Arial" w:cs="Arial"/>
          <w:kern w:val="0"/>
          <w:sz w:val="24"/>
          <w:szCs w:val="24"/>
          <w:lang w:eastAsia="en-GB"/>
          <w14:ligatures w14:val="none"/>
        </w:rPr>
        <w:t>The performance of Senior members of staff is assessed by the Vice-Chancellor, after taking soundings and feedback from the Chair and members of the Board of Governors.  It is based on leadership, the achievement of key strategic objectives, measurement against agreed targets, the overall performance of the University and the external context in which the university operates. Each year the Remuneration Committee receives a report by the Vice-Chancellor on the Senior Staff Performance and Development Reviews and agreed objectives for the following year.   </w:t>
      </w:r>
    </w:p>
    <w:p w14:paraId="2D140D39" w14:textId="77777777" w:rsidR="00A35428" w:rsidRPr="00C76BDD" w:rsidRDefault="00A35428" w:rsidP="00C76BDD">
      <w:pPr>
        <w:spacing w:after="0" w:line="240" w:lineRule="auto"/>
        <w:jc w:val="both"/>
        <w:textAlignment w:val="baseline"/>
        <w:rPr>
          <w:rFonts w:ascii="Segoe UI" w:eastAsia="Times New Roman" w:hAnsi="Segoe UI" w:cs="Segoe UI"/>
          <w:color w:val="002D56"/>
          <w:kern w:val="0"/>
          <w:sz w:val="18"/>
          <w:szCs w:val="18"/>
          <w:lang w:eastAsia="en-GB"/>
          <w14:ligatures w14:val="none"/>
        </w:rPr>
      </w:pPr>
    </w:p>
    <w:p w14:paraId="1E77EF90" w14:textId="77777777" w:rsidR="00C76BDD" w:rsidRPr="003560F1"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3560F1">
        <w:rPr>
          <w:rFonts w:ascii="Arial" w:eastAsia="Times New Roman" w:hAnsi="Arial" w:cs="Arial"/>
          <w:kern w:val="0"/>
          <w:sz w:val="24"/>
          <w:szCs w:val="24"/>
          <w:lang w:eastAsia="en-GB"/>
          <w14:ligatures w14:val="none"/>
        </w:rPr>
        <w:t>The base salary for Senior staff is reviewed in line with national pay awards for the Higher Education sector. Where supported by evidence, the Remuneration Committee may, at its discretion, agree a consolidated increase to the Senior Staff’s base pay.   </w:t>
      </w:r>
    </w:p>
    <w:p w14:paraId="2AE0EEDC" w14:textId="77777777" w:rsidR="003560F1" w:rsidRPr="003560F1" w:rsidRDefault="003560F1" w:rsidP="00C76BDD">
      <w:pPr>
        <w:spacing w:after="0" w:line="240" w:lineRule="auto"/>
        <w:jc w:val="both"/>
        <w:textAlignment w:val="baseline"/>
        <w:rPr>
          <w:rFonts w:ascii="Segoe UI" w:eastAsia="Times New Roman" w:hAnsi="Segoe UI" w:cs="Segoe UI"/>
          <w:color w:val="002D56"/>
          <w:kern w:val="0"/>
          <w:sz w:val="24"/>
          <w:szCs w:val="24"/>
          <w:lang w:eastAsia="en-GB"/>
          <w14:ligatures w14:val="none"/>
        </w:rPr>
      </w:pPr>
    </w:p>
    <w:p w14:paraId="7A2E3C0E" w14:textId="0BAD516E" w:rsidR="00C76BDD" w:rsidRPr="003560F1" w:rsidRDefault="00C76BDD" w:rsidP="00C76BDD">
      <w:pPr>
        <w:spacing w:after="0" w:line="240" w:lineRule="auto"/>
        <w:jc w:val="both"/>
        <w:textAlignment w:val="baseline"/>
        <w:rPr>
          <w:rFonts w:ascii="Arial" w:eastAsia="Times New Roman" w:hAnsi="Arial" w:cs="Arial"/>
          <w:kern w:val="0"/>
          <w:sz w:val="24"/>
          <w:szCs w:val="24"/>
          <w:lang w:eastAsia="en-GB"/>
          <w14:ligatures w14:val="none"/>
        </w:rPr>
      </w:pPr>
      <w:r w:rsidRPr="003560F1">
        <w:rPr>
          <w:rFonts w:ascii="Arial" w:eastAsia="Times New Roman" w:hAnsi="Arial" w:cs="Arial"/>
          <w:kern w:val="0"/>
          <w:sz w:val="24"/>
          <w:szCs w:val="24"/>
          <w:lang w:eastAsia="en-GB"/>
          <w14:ligatures w14:val="none"/>
        </w:rPr>
        <w:t xml:space="preserve">In 2023-24 the Remuneration Committee considered the pay of five members of Senior staff; the Deputy Vice-Chancellor; the Pro Vice-Chancellor (Research and Innovation); the Pro Vice-Chancellor (Student Engagement); the Chief Officer (Resources) and the Interim University Secretary.  All were awarded a base pay increase of 3% with effect from 1 August 2023.  In addition, one senior staff member received a non-consolidated award in recognition of taking on additional responsibilities. One senior staff member received a base salary increase with effect from May 2024 to reflect the size and scope of the role and market data. </w:t>
      </w:r>
      <w:proofErr w:type="gramStart"/>
      <w:r w:rsidRPr="003560F1">
        <w:rPr>
          <w:rFonts w:ascii="Arial" w:eastAsia="Times New Roman" w:hAnsi="Arial" w:cs="Arial"/>
          <w:kern w:val="0"/>
          <w:sz w:val="24"/>
          <w:szCs w:val="24"/>
          <w:lang w:eastAsia="en-GB"/>
          <w14:ligatures w14:val="none"/>
        </w:rPr>
        <w:t>A</w:t>
      </w:r>
      <w:proofErr w:type="gramEnd"/>
      <w:r w:rsidRPr="003560F1">
        <w:rPr>
          <w:rFonts w:ascii="Arial" w:eastAsia="Times New Roman" w:hAnsi="Arial" w:cs="Arial"/>
          <w:kern w:val="0"/>
          <w:sz w:val="24"/>
          <w:szCs w:val="24"/>
          <w:lang w:eastAsia="en-GB"/>
          <w14:ligatures w14:val="none"/>
        </w:rPr>
        <w:t xml:space="preserve"> honorarium was awarded to one senior staff member in recognition of taking on additional interim responsibilities and a new Vice-Chancellor was appointed with effect from February 2024. </w:t>
      </w:r>
    </w:p>
    <w:p w14:paraId="1037C2C7" w14:textId="77777777" w:rsidR="003560F1" w:rsidRPr="003560F1" w:rsidRDefault="003560F1" w:rsidP="00C76BDD">
      <w:pPr>
        <w:spacing w:after="0" w:line="240" w:lineRule="auto"/>
        <w:jc w:val="both"/>
        <w:textAlignment w:val="baseline"/>
        <w:rPr>
          <w:rFonts w:ascii="Segoe UI" w:eastAsia="Times New Roman" w:hAnsi="Segoe UI" w:cs="Segoe UI"/>
          <w:color w:val="002D56"/>
          <w:kern w:val="0"/>
          <w:sz w:val="24"/>
          <w:szCs w:val="24"/>
          <w:lang w:eastAsia="en-GB"/>
          <w14:ligatures w14:val="none"/>
        </w:rPr>
      </w:pPr>
    </w:p>
    <w:p w14:paraId="5AC2CFA2" w14:textId="77777777" w:rsidR="00C76BDD" w:rsidRPr="003560F1" w:rsidRDefault="00C76BDD" w:rsidP="00C76BDD">
      <w:pPr>
        <w:spacing w:after="0" w:line="240" w:lineRule="auto"/>
        <w:jc w:val="both"/>
        <w:textAlignment w:val="baseline"/>
        <w:rPr>
          <w:rFonts w:ascii="Segoe UI" w:eastAsia="Times New Roman" w:hAnsi="Segoe UI" w:cs="Segoe UI"/>
          <w:color w:val="002D56"/>
          <w:kern w:val="0"/>
          <w:sz w:val="24"/>
          <w:szCs w:val="24"/>
          <w:lang w:eastAsia="en-GB"/>
          <w14:ligatures w14:val="none"/>
        </w:rPr>
      </w:pPr>
      <w:r w:rsidRPr="003560F1">
        <w:rPr>
          <w:rFonts w:ascii="Arial" w:eastAsia="Times New Roman" w:hAnsi="Arial" w:cs="Arial"/>
          <w:kern w:val="0"/>
          <w:sz w:val="24"/>
          <w:szCs w:val="24"/>
          <w:lang w:eastAsia="en-GB"/>
          <w14:ligatures w14:val="none"/>
        </w:rPr>
        <w:t>The numbers of staff paid above £100k per annum are published in the financial statements (note 7), broken down into £5k pay bands.  In 2023-24 there were 16 members of staff with a basic salary over £100k per annum, compared with 12 in 2022-23. </w:t>
      </w:r>
    </w:p>
    <w:p w14:paraId="4E82635D" w14:textId="2C37F815" w:rsidR="00BA5973" w:rsidRPr="00C76BDD" w:rsidRDefault="00C76BDD" w:rsidP="00C76BDD">
      <w:pPr>
        <w:spacing w:after="0" w:line="240" w:lineRule="auto"/>
        <w:textAlignment w:val="baseline"/>
        <w:rPr>
          <w:rFonts w:ascii="Segoe UI" w:eastAsia="Times New Roman" w:hAnsi="Segoe UI" w:cs="Segoe UI"/>
          <w:b/>
          <w:bCs/>
          <w:color w:val="002D56"/>
          <w:kern w:val="0"/>
          <w:sz w:val="18"/>
          <w:szCs w:val="18"/>
          <w:lang w:eastAsia="en-GB"/>
          <w14:ligatures w14:val="none"/>
        </w:rPr>
      </w:pPr>
      <w:r w:rsidRPr="00C76BDD">
        <w:rPr>
          <w:rFonts w:ascii="Arial" w:eastAsia="Times New Roman" w:hAnsi="Arial" w:cs="Arial"/>
          <w:b/>
          <w:bCs/>
          <w:color w:val="FF0000"/>
          <w:kern w:val="0"/>
          <w:sz w:val="20"/>
          <w:szCs w:val="20"/>
          <w:lang w:eastAsia="en-GB"/>
          <w14:ligatures w14:val="none"/>
        </w:rPr>
        <w:t>  </w:t>
      </w:r>
    </w:p>
    <w:tbl>
      <w:tblPr>
        <w:tblW w:w="9082" w:type="dxa"/>
        <w:tblInd w:w="-142" w:type="dxa"/>
        <w:tblLayout w:type="fixed"/>
        <w:tblLook w:val="04A0" w:firstRow="1" w:lastRow="0" w:firstColumn="1" w:lastColumn="0" w:noHBand="0" w:noVBand="1"/>
      </w:tblPr>
      <w:tblGrid>
        <w:gridCol w:w="4393"/>
        <w:gridCol w:w="2445"/>
        <w:gridCol w:w="2244"/>
      </w:tblGrid>
      <w:tr w:rsidR="00BA5973" w14:paraId="132823C9" w14:textId="77777777" w:rsidTr="78FF34B9">
        <w:trPr>
          <w:trHeight w:val="300"/>
        </w:trPr>
        <w:tc>
          <w:tcPr>
            <w:tcW w:w="4393" w:type="dxa"/>
            <w:hideMark/>
          </w:tcPr>
          <w:p w14:paraId="7B2ABED3" w14:textId="77777777" w:rsidR="00BA5973" w:rsidRPr="00BA5973" w:rsidRDefault="77646346">
            <w:pPr>
              <w:spacing w:after="0"/>
              <w:rPr>
                <w:rFonts w:ascii="Arial" w:hAnsi="Arial" w:cs="Arial"/>
                <w:sz w:val="24"/>
                <w:szCs w:val="24"/>
              </w:rPr>
            </w:pPr>
            <w:r w:rsidRPr="78FF34B9">
              <w:rPr>
                <w:rFonts w:ascii="Arial" w:hAnsi="Arial" w:cs="Arial"/>
                <w:sz w:val="24"/>
                <w:szCs w:val="24"/>
              </w:rPr>
              <w:t>Higher Paid Staff</w:t>
            </w:r>
          </w:p>
        </w:tc>
        <w:tc>
          <w:tcPr>
            <w:tcW w:w="2445" w:type="dxa"/>
            <w:vAlign w:val="bottom"/>
            <w:hideMark/>
          </w:tcPr>
          <w:p w14:paraId="31E78EE7" w14:textId="77777777" w:rsidR="00BA5973" w:rsidRPr="00BA5973" w:rsidRDefault="77646346">
            <w:pPr>
              <w:spacing w:after="0"/>
              <w:jc w:val="right"/>
              <w:rPr>
                <w:rFonts w:ascii="Arial" w:hAnsi="Arial" w:cs="Arial"/>
                <w:sz w:val="24"/>
                <w:szCs w:val="24"/>
                <w:lang w:eastAsia="en-GB"/>
              </w:rPr>
            </w:pPr>
            <w:r w:rsidRPr="78FF34B9">
              <w:rPr>
                <w:rFonts w:ascii="Arial" w:hAnsi="Arial" w:cs="Arial"/>
                <w:sz w:val="24"/>
                <w:szCs w:val="24"/>
                <w:lang w:eastAsia="en-GB"/>
              </w:rPr>
              <w:t>Year Ended</w:t>
            </w:r>
          </w:p>
          <w:p w14:paraId="1B61FD46" w14:textId="77777777" w:rsidR="00BA5973" w:rsidRPr="00BA5973" w:rsidRDefault="77646346">
            <w:pPr>
              <w:spacing w:after="0"/>
              <w:jc w:val="right"/>
              <w:rPr>
                <w:rFonts w:ascii="Arial" w:eastAsia="Times New Roman" w:hAnsi="Arial" w:cs="Arial"/>
                <w:sz w:val="24"/>
                <w:szCs w:val="24"/>
                <w:lang w:eastAsia="en-GB"/>
              </w:rPr>
            </w:pPr>
            <w:r w:rsidRPr="78FF34B9">
              <w:rPr>
                <w:rFonts w:ascii="Arial" w:hAnsi="Arial" w:cs="Arial"/>
                <w:sz w:val="24"/>
                <w:szCs w:val="24"/>
                <w:lang w:eastAsia="en-GB"/>
              </w:rPr>
              <w:t>31 July 2024</w:t>
            </w:r>
          </w:p>
        </w:tc>
        <w:tc>
          <w:tcPr>
            <w:tcW w:w="2244" w:type="dxa"/>
            <w:vAlign w:val="bottom"/>
            <w:hideMark/>
          </w:tcPr>
          <w:p w14:paraId="193E399A"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Year Ended</w:t>
            </w:r>
          </w:p>
          <w:p w14:paraId="03349441" w14:textId="77777777" w:rsidR="00BA5973" w:rsidRPr="00BA5973" w:rsidRDefault="77646346">
            <w:pPr>
              <w:spacing w:after="0"/>
              <w:jc w:val="right"/>
              <w:rPr>
                <w:rFonts w:ascii="Arial" w:eastAsia="Times New Roman" w:hAnsi="Arial" w:cs="Arial"/>
                <w:sz w:val="24"/>
                <w:szCs w:val="24"/>
              </w:rPr>
            </w:pPr>
            <w:r w:rsidRPr="78FF34B9">
              <w:rPr>
                <w:rFonts w:ascii="Arial" w:hAnsi="Arial" w:cs="Arial"/>
                <w:sz w:val="24"/>
                <w:szCs w:val="24"/>
              </w:rPr>
              <w:t>31 July 2023</w:t>
            </w:r>
          </w:p>
        </w:tc>
      </w:tr>
      <w:tr w:rsidR="00BA5973" w14:paraId="0B328DAD" w14:textId="77777777" w:rsidTr="78FF34B9">
        <w:trPr>
          <w:trHeight w:val="300"/>
        </w:trPr>
        <w:tc>
          <w:tcPr>
            <w:tcW w:w="4393" w:type="dxa"/>
          </w:tcPr>
          <w:p w14:paraId="05F182E8" w14:textId="77777777" w:rsidR="00BA5973" w:rsidRPr="00BA5973" w:rsidRDefault="00BA5973">
            <w:pPr>
              <w:spacing w:after="0"/>
              <w:rPr>
                <w:rFonts w:ascii="Arial" w:hAnsi="Arial" w:cs="Arial"/>
                <w:sz w:val="24"/>
                <w:szCs w:val="24"/>
              </w:rPr>
            </w:pPr>
          </w:p>
        </w:tc>
        <w:tc>
          <w:tcPr>
            <w:tcW w:w="2445" w:type="dxa"/>
            <w:vAlign w:val="bottom"/>
          </w:tcPr>
          <w:p w14:paraId="1D37C132" w14:textId="77777777" w:rsidR="00BA5973" w:rsidRPr="00BA5973" w:rsidRDefault="00BA5973">
            <w:pPr>
              <w:spacing w:after="0"/>
              <w:jc w:val="right"/>
              <w:rPr>
                <w:rFonts w:ascii="Arial" w:hAnsi="Arial" w:cs="Arial"/>
                <w:sz w:val="24"/>
                <w:szCs w:val="24"/>
                <w:lang w:eastAsia="en-GB"/>
              </w:rPr>
            </w:pPr>
          </w:p>
        </w:tc>
        <w:tc>
          <w:tcPr>
            <w:tcW w:w="2244" w:type="dxa"/>
            <w:vAlign w:val="bottom"/>
          </w:tcPr>
          <w:p w14:paraId="7EFB5681" w14:textId="77777777" w:rsidR="00BA5973" w:rsidRPr="00BA5973" w:rsidRDefault="00BA5973">
            <w:pPr>
              <w:spacing w:after="0"/>
              <w:jc w:val="right"/>
              <w:rPr>
                <w:rFonts w:ascii="Arial" w:hAnsi="Arial" w:cs="Arial"/>
                <w:sz w:val="24"/>
                <w:szCs w:val="24"/>
              </w:rPr>
            </w:pPr>
          </w:p>
        </w:tc>
      </w:tr>
      <w:tr w:rsidR="00BA5973" w14:paraId="4679F437" w14:textId="77777777" w:rsidTr="78FF34B9">
        <w:trPr>
          <w:trHeight w:val="300"/>
        </w:trPr>
        <w:tc>
          <w:tcPr>
            <w:tcW w:w="4393" w:type="dxa"/>
            <w:vAlign w:val="bottom"/>
          </w:tcPr>
          <w:p w14:paraId="2D71CE3C" w14:textId="77777777" w:rsidR="00BA5973" w:rsidRPr="00BA5973" w:rsidRDefault="00BA5973">
            <w:pPr>
              <w:spacing w:after="0"/>
              <w:rPr>
                <w:rFonts w:ascii="Arial" w:hAnsi="Arial" w:cs="Arial"/>
                <w:sz w:val="24"/>
                <w:szCs w:val="24"/>
              </w:rPr>
            </w:pPr>
          </w:p>
        </w:tc>
        <w:tc>
          <w:tcPr>
            <w:tcW w:w="2445" w:type="dxa"/>
            <w:vAlign w:val="bottom"/>
            <w:hideMark/>
          </w:tcPr>
          <w:p w14:paraId="0201A9F8" w14:textId="77777777" w:rsidR="00BA5973" w:rsidRPr="00BA5973" w:rsidRDefault="77646346">
            <w:pPr>
              <w:spacing w:after="0"/>
              <w:jc w:val="right"/>
              <w:rPr>
                <w:rFonts w:ascii="Arial" w:hAnsi="Arial" w:cs="Arial"/>
                <w:sz w:val="24"/>
                <w:szCs w:val="24"/>
                <w:lang w:eastAsia="en-GB"/>
              </w:rPr>
            </w:pPr>
            <w:r w:rsidRPr="78FF34B9">
              <w:rPr>
                <w:rFonts w:ascii="Arial" w:hAnsi="Arial" w:cs="Arial"/>
                <w:sz w:val="24"/>
                <w:szCs w:val="24"/>
                <w:lang w:eastAsia="en-GB"/>
              </w:rPr>
              <w:t>No.</w:t>
            </w:r>
          </w:p>
        </w:tc>
        <w:tc>
          <w:tcPr>
            <w:tcW w:w="2244" w:type="dxa"/>
            <w:vAlign w:val="bottom"/>
            <w:hideMark/>
          </w:tcPr>
          <w:p w14:paraId="14E23E3A"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No.</w:t>
            </w:r>
          </w:p>
        </w:tc>
      </w:tr>
      <w:tr w:rsidR="00BA5973" w14:paraId="3A4BD3D8" w14:textId="77777777" w:rsidTr="78FF34B9">
        <w:trPr>
          <w:trHeight w:val="300"/>
        </w:trPr>
        <w:tc>
          <w:tcPr>
            <w:tcW w:w="4393" w:type="dxa"/>
            <w:vAlign w:val="bottom"/>
            <w:hideMark/>
          </w:tcPr>
          <w:p w14:paraId="4F9AB4DA" w14:textId="77777777" w:rsidR="00BA5973" w:rsidRPr="00BA5973" w:rsidRDefault="77646346">
            <w:pPr>
              <w:spacing w:after="0"/>
              <w:rPr>
                <w:rFonts w:ascii="Arial" w:hAnsi="Arial" w:cs="Arial"/>
                <w:sz w:val="24"/>
                <w:szCs w:val="24"/>
                <w:lang w:eastAsia="en-GB"/>
              </w:rPr>
            </w:pPr>
            <w:r w:rsidRPr="78FF34B9">
              <w:rPr>
                <w:rFonts w:ascii="Arial" w:hAnsi="Arial" w:cs="Arial"/>
                <w:sz w:val="24"/>
                <w:szCs w:val="24"/>
              </w:rPr>
              <w:t>£100,000 to £104,999</w:t>
            </w:r>
          </w:p>
        </w:tc>
        <w:tc>
          <w:tcPr>
            <w:tcW w:w="2445" w:type="dxa"/>
            <w:vAlign w:val="bottom"/>
            <w:hideMark/>
          </w:tcPr>
          <w:p w14:paraId="7D18E4FC" w14:textId="77777777" w:rsidR="00BA5973" w:rsidRPr="00BA5973" w:rsidRDefault="77646346">
            <w:pPr>
              <w:spacing w:after="0"/>
              <w:jc w:val="right"/>
              <w:rPr>
                <w:rFonts w:ascii="Arial" w:hAnsi="Arial" w:cs="Arial"/>
                <w:sz w:val="24"/>
                <w:szCs w:val="24"/>
                <w:lang w:eastAsia="en-GB"/>
              </w:rPr>
            </w:pPr>
            <w:r w:rsidRPr="78FF34B9">
              <w:rPr>
                <w:rFonts w:ascii="Arial" w:hAnsi="Arial" w:cs="Arial"/>
                <w:sz w:val="24"/>
                <w:szCs w:val="24"/>
                <w:lang w:eastAsia="en-GB"/>
              </w:rPr>
              <w:t>3</w:t>
            </w:r>
          </w:p>
        </w:tc>
        <w:tc>
          <w:tcPr>
            <w:tcW w:w="2244" w:type="dxa"/>
            <w:vAlign w:val="bottom"/>
            <w:hideMark/>
          </w:tcPr>
          <w:p w14:paraId="3F1596ED" w14:textId="77777777" w:rsidR="00BA5973" w:rsidRPr="00BA5973" w:rsidRDefault="77646346">
            <w:pPr>
              <w:spacing w:after="0"/>
              <w:jc w:val="right"/>
              <w:rPr>
                <w:rFonts w:ascii="Arial" w:hAnsi="Arial" w:cs="Arial"/>
                <w:sz w:val="24"/>
                <w:szCs w:val="24"/>
                <w:lang w:eastAsia="en-GB"/>
              </w:rPr>
            </w:pPr>
            <w:r w:rsidRPr="78FF34B9">
              <w:rPr>
                <w:rFonts w:ascii="Arial" w:hAnsi="Arial" w:cs="Arial"/>
                <w:sz w:val="24"/>
                <w:szCs w:val="24"/>
                <w:lang w:eastAsia="en-GB"/>
              </w:rPr>
              <w:t>4</w:t>
            </w:r>
          </w:p>
        </w:tc>
      </w:tr>
      <w:tr w:rsidR="00BA5973" w14:paraId="67E591C8" w14:textId="77777777" w:rsidTr="78FF34B9">
        <w:trPr>
          <w:trHeight w:val="300"/>
        </w:trPr>
        <w:tc>
          <w:tcPr>
            <w:tcW w:w="4393" w:type="dxa"/>
            <w:vAlign w:val="bottom"/>
            <w:hideMark/>
          </w:tcPr>
          <w:p w14:paraId="0A0AE5D5" w14:textId="77777777" w:rsidR="00BA5973" w:rsidRPr="00BA5973" w:rsidRDefault="77646346">
            <w:pPr>
              <w:spacing w:after="0"/>
              <w:rPr>
                <w:rFonts w:ascii="Arial" w:hAnsi="Arial" w:cs="Arial"/>
                <w:sz w:val="24"/>
                <w:szCs w:val="24"/>
              </w:rPr>
            </w:pPr>
            <w:r w:rsidRPr="78FF34B9">
              <w:rPr>
                <w:rFonts w:ascii="Arial" w:hAnsi="Arial" w:cs="Arial"/>
                <w:sz w:val="24"/>
                <w:szCs w:val="24"/>
              </w:rPr>
              <w:t>£105,000 to £109,999</w:t>
            </w:r>
          </w:p>
        </w:tc>
        <w:tc>
          <w:tcPr>
            <w:tcW w:w="2445" w:type="dxa"/>
            <w:vAlign w:val="bottom"/>
            <w:hideMark/>
          </w:tcPr>
          <w:p w14:paraId="5F1FC01E" w14:textId="77777777" w:rsidR="00BA5973" w:rsidRPr="00BA5973" w:rsidRDefault="77646346">
            <w:pPr>
              <w:spacing w:after="0"/>
              <w:jc w:val="right"/>
              <w:rPr>
                <w:rFonts w:ascii="Arial" w:hAnsi="Arial" w:cs="Arial"/>
                <w:sz w:val="24"/>
                <w:szCs w:val="24"/>
                <w:lang w:eastAsia="en-GB"/>
              </w:rPr>
            </w:pPr>
            <w:r w:rsidRPr="78FF34B9">
              <w:rPr>
                <w:rFonts w:ascii="Arial" w:hAnsi="Arial" w:cs="Arial"/>
                <w:sz w:val="24"/>
                <w:szCs w:val="24"/>
                <w:lang w:eastAsia="en-GB"/>
              </w:rPr>
              <w:t>5</w:t>
            </w:r>
          </w:p>
        </w:tc>
        <w:tc>
          <w:tcPr>
            <w:tcW w:w="2244" w:type="dxa"/>
            <w:vAlign w:val="bottom"/>
            <w:hideMark/>
          </w:tcPr>
          <w:p w14:paraId="601A3163" w14:textId="77777777" w:rsidR="00BA5973" w:rsidRPr="00BA5973" w:rsidRDefault="77646346">
            <w:pPr>
              <w:spacing w:after="0"/>
              <w:jc w:val="right"/>
              <w:rPr>
                <w:rFonts w:ascii="Arial" w:hAnsi="Arial" w:cs="Arial"/>
                <w:sz w:val="24"/>
                <w:szCs w:val="24"/>
                <w:lang w:eastAsia="en-GB"/>
              </w:rPr>
            </w:pPr>
            <w:r w:rsidRPr="78FF34B9">
              <w:rPr>
                <w:rFonts w:ascii="Arial" w:hAnsi="Arial" w:cs="Arial"/>
                <w:sz w:val="24"/>
                <w:szCs w:val="24"/>
                <w:lang w:eastAsia="en-GB"/>
              </w:rPr>
              <w:t>-</w:t>
            </w:r>
          </w:p>
        </w:tc>
      </w:tr>
      <w:tr w:rsidR="00BA5973" w14:paraId="58948411" w14:textId="77777777" w:rsidTr="78FF34B9">
        <w:trPr>
          <w:trHeight w:val="300"/>
        </w:trPr>
        <w:tc>
          <w:tcPr>
            <w:tcW w:w="4393" w:type="dxa"/>
            <w:vAlign w:val="bottom"/>
            <w:hideMark/>
          </w:tcPr>
          <w:p w14:paraId="6D16984B" w14:textId="77777777" w:rsidR="00BA5973" w:rsidRPr="00BA5973" w:rsidRDefault="77646346">
            <w:pPr>
              <w:spacing w:after="0"/>
              <w:rPr>
                <w:rFonts w:ascii="Arial" w:hAnsi="Arial" w:cs="Arial"/>
                <w:sz w:val="24"/>
                <w:szCs w:val="24"/>
              </w:rPr>
            </w:pPr>
            <w:r w:rsidRPr="78FF34B9">
              <w:rPr>
                <w:rFonts w:ascii="Arial" w:hAnsi="Arial" w:cs="Arial"/>
                <w:sz w:val="24"/>
                <w:szCs w:val="24"/>
              </w:rPr>
              <w:t>£110,000 to £114,999</w:t>
            </w:r>
          </w:p>
        </w:tc>
        <w:tc>
          <w:tcPr>
            <w:tcW w:w="2445" w:type="dxa"/>
            <w:vAlign w:val="bottom"/>
            <w:hideMark/>
          </w:tcPr>
          <w:p w14:paraId="16DD7201"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w:t>
            </w:r>
          </w:p>
        </w:tc>
        <w:tc>
          <w:tcPr>
            <w:tcW w:w="2244" w:type="dxa"/>
            <w:vAlign w:val="bottom"/>
            <w:hideMark/>
          </w:tcPr>
          <w:p w14:paraId="486B5479"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2</w:t>
            </w:r>
          </w:p>
        </w:tc>
      </w:tr>
      <w:tr w:rsidR="00BA5973" w14:paraId="2A4BAC47" w14:textId="77777777" w:rsidTr="78FF34B9">
        <w:trPr>
          <w:trHeight w:val="300"/>
        </w:trPr>
        <w:tc>
          <w:tcPr>
            <w:tcW w:w="4393" w:type="dxa"/>
            <w:vAlign w:val="bottom"/>
            <w:hideMark/>
          </w:tcPr>
          <w:p w14:paraId="549B5F69" w14:textId="77777777" w:rsidR="00BA5973" w:rsidRPr="00BA5973" w:rsidRDefault="77646346">
            <w:pPr>
              <w:rPr>
                <w:rFonts w:ascii="Arial" w:hAnsi="Arial" w:cs="Arial"/>
                <w:sz w:val="24"/>
                <w:szCs w:val="24"/>
              </w:rPr>
            </w:pPr>
            <w:r w:rsidRPr="78FF34B9">
              <w:rPr>
                <w:rFonts w:ascii="Arial" w:hAnsi="Arial" w:cs="Arial"/>
                <w:sz w:val="24"/>
                <w:szCs w:val="24"/>
              </w:rPr>
              <w:t>£115,000 to £119,999</w:t>
            </w:r>
          </w:p>
        </w:tc>
        <w:tc>
          <w:tcPr>
            <w:tcW w:w="2445" w:type="dxa"/>
            <w:vAlign w:val="bottom"/>
            <w:hideMark/>
          </w:tcPr>
          <w:p w14:paraId="67A813D0" w14:textId="77777777" w:rsidR="00BA5973" w:rsidRPr="00BA5973" w:rsidRDefault="77646346">
            <w:pPr>
              <w:jc w:val="right"/>
              <w:rPr>
                <w:rFonts w:ascii="Arial" w:hAnsi="Arial" w:cs="Arial"/>
                <w:sz w:val="24"/>
                <w:szCs w:val="24"/>
              </w:rPr>
            </w:pPr>
            <w:r w:rsidRPr="78FF34B9">
              <w:rPr>
                <w:rFonts w:ascii="Arial" w:hAnsi="Arial" w:cs="Arial"/>
                <w:sz w:val="24"/>
                <w:szCs w:val="24"/>
              </w:rPr>
              <w:t>2</w:t>
            </w:r>
          </w:p>
        </w:tc>
        <w:tc>
          <w:tcPr>
            <w:tcW w:w="2244" w:type="dxa"/>
            <w:vAlign w:val="bottom"/>
            <w:hideMark/>
          </w:tcPr>
          <w:p w14:paraId="360CF625" w14:textId="77777777" w:rsidR="00BA5973" w:rsidRPr="00BA5973" w:rsidRDefault="77646346">
            <w:pPr>
              <w:jc w:val="right"/>
              <w:rPr>
                <w:rFonts w:ascii="Arial" w:hAnsi="Arial" w:cs="Arial"/>
                <w:sz w:val="24"/>
                <w:szCs w:val="24"/>
              </w:rPr>
            </w:pPr>
            <w:r w:rsidRPr="78FF34B9">
              <w:rPr>
                <w:rFonts w:ascii="Arial" w:hAnsi="Arial" w:cs="Arial"/>
                <w:sz w:val="24"/>
                <w:szCs w:val="24"/>
              </w:rPr>
              <w:t>-</w:t>
            </w:r>
          </w:p>
        </w:tc>
      </w:tr>
      <w:tr w:rsidR="00BA5973" w14:paraId="7DDE6E32" w14:textId="77777777" w:rsidTr="78FF34B9">
        <w:trPr>
          <w:trHeight w:val="300"/>
        </w:trPr>
        <w:tc>
          <w:tcPr>
            <w:tcW w:w="4393" w:type="dxa"/>
            <w:vAlign w:val="bottom"/>
            <w:hideMark/>
          </w:tcPr>
          <w:p w14:paraId="341CFA88" w14:textId="77777777" w:rsidR="00BA5973" w:rsidRPr="00BA5973" w:rsidRDefault="77646346">
            <w:pPr>
              <w:spacing w:after="0"/>
              <w:rPr>
                <w:rFonts w:ascii="Arial" w:hAnsi="Arial" w:cs="Arial"/>
                <w:sz w:val="24"/>
                <w:szCs w:val="24"/>
              </w:rPr>
            </w:pPr>
            <w:r w:rsidRPr="78FF34B9">
              <w:rPr>
                <w:rFonts w:ascii="Arial" w:hAnsi="Arial" w:cs="Arial"/>
                <w:sz w:val="24"/>
                <w:szCs w:val="24"/>
              </w:rPr>
              <w:t>£120,000 to £124,999</w:t>
            </w:r>
          </w:p>
        </w:tc>
        <w:tc>
          <w:tcPr>
            <w:tcW w:w="2445" w:type="dxa"/>
            <w:vAlign w:val="bottom"/>
            <w:hideMark/>
          </w:tcPr>
          <w:p w14:paraId="56C40BF8"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w:t>
            </w:r>
          </w:p>
        </w:tc>
        <w:tc>
          <w:tcPr>
            <w:tcW w:w="2244" w:type="dxa"/>
            <w:vAlign w:val="bottom"/>
            <w:hideMark/>
          </w:tcPr>
          <w:p w14:paraId="3A0C1DC2"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w:t>
            </w:r>
          </w:p>
        </w:tc>
      </w:tr>
      <w:tr w:rsidR="00BA5973" w14:paraId="475C2AAA" w14:textId="77777777" w:rsidTr="78FF34B9">
        <w:trPr>
          <w:trHeight w:val="300"/>
        </w:trPr>
        <w:tc>
          <w:tcPr>
            <w:tcW w:w="4393" w:type="dxa"/>
            <w:vAlign w:val="bottom"/>
            <w:hideMark/>
          </w:tcPr>
          <w:p w14:paraId="59366262" w14:textId="77777777" w:rsidR="00BA5973" w:rsidRPr="00BA5973" w:rsidRDefault="77646346">
            <w:pPr>
              <w:spacing w:after="0"/>
              <w:rPr>
                <w:rFonts w:ascii="Arial" w:hAnsi="Arial" w:cs="Arial"/>
                <w:sz w:val="24"/>
                <w:szCs w:val="24"/>
              </w:rPr>
            </w:pPr>
            <w:r w:rsidRPr="78FF34B9">
              <w:rPr>
                <w:rFonts w:ascii="Arial" w:hAnsi="Arial" w:cs="Arial"/>
                <w:sz w:val="24"/>
                <w:szCs w:val="24"/>
              </w:rPr>
              <w:t>£130,000 to £134,999</w:t>
            </w:r>
          </w:p>
        </w:tc>
        <w:tc>
          <w:tcPr>
            <w:tcW w:w="2445" w:type="dxa"/>
            <w:vAlign w:val="bottom"/>
            <w:hideMark/>
          </w:tcPr>
          <w:p w14:paraId="16692AF0"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w:t>
            </w:r>
          </w:p>
        </w:tc>
        <w:tc>
          <w:tcPr>
            <w:tcW w:w="2244" w:type="dxa"/>
            <w:vAlign w:val="bottom"/>
            <w:hideMark/>
          </w:tcPr>
          <w:p w14:paraId="5BA0EACA" w14:textId="77777777" w:rsidR="00BA5973" w:rsidRPr="00BA5973" w:rsidRDefault="77646346">
            <w:pPr>
              <w:spacing w:after="0"/>
              <w:jc w:val="right"/>
              <w:rPr>
                <w:rFonts w:ascii="Arial" w:eastAsia="Times New Roman" w:hAnsi="Arial" w:cs="Arial"/>
                <w:sz w:val="24"/>
                <w:szCs w:val="24"/>
              </w:rPr>
            </w:pPr>
            <w:r w:rsidRPr="78FF34B9">
              <w:rPr>
                <w:rFonts w:ascii="Arial" w:hAnsi="Arial" w:cs="Arial"/>
                <w:sz w:val="24"/>
                <w:szCs w:val="24"/>
              </w:rPr>
              <w:t>-</w:t>
            </w:r>
          </w:p>
        </w:tc>
      </w:tr>
      <w:tr w:rsidR="00BA5973" w14:paraId="52B35DBA" w14:textId="77777777" w:rsidTr="78FF34B9">
        <w:trPr>
          <w:trHeight w:val="300"/>
        </w:trPr>
        <w:tc>
          <w:tcPr>
            <w:tcW w:w="4393" w:type="dxa"/>
            <w:vAlign w:val="bottom"/>
            <w:hideMark/>
          </w:tcPr>
          <w:p w14:paraId="35DD8916" w14:textId="77777777" w:rsidR="00BA5973" w:rsidRPr="00BA5973" w:rsidRDefault="77646346">
            <w:pPr>
              <w:spacing w:after="0"/>
              <w:rPr>
                <w:rFonts w:ascii="Arial" w:hAnsi="Arial" w:cs="Arial"/>
                <w:sz w:val="24"/>
                <w:szCs w:val="24"/>
              </w:rPr>
            </w:pPr>
            <w:r w:rsidRPr="78FF34B9">
              <w:rPr>
                <w:rFonts w:ascii="Arial" w:hAnsi="Arial" w:cs="Arial"/>
                <w:sz w:val="24"/>
                <w:szCs w:val="24"/>
              </w:rPr>
              <w:t>£140,000 to £144,999</w:t>
            </w:r>
          </w:p>
        </w:tc>
        <w:tc>
          <w:tcPr>
            <w:tcW w:w="2445" w:type="dxa"/>
            <w:vAlign w:val="bottom"/>
            <w:hideMark/>
          </w:tcPr>
          <w:p w14:paraId="0EE0D5DB"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w:t>
            </w:r>
          </w:p>
        </w:tc>
        <w:tc>
          <w:tcPr>
            <w:tcW w:w="2244" w:type="dxa"/>
            <w:vAlign w:val="bottom"/>
            <w:hideMark/>
          </w:tcPr>
          <w:p w14:paraId="6278E343"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2</w:t>
            </w:r>
          </w:p>
        </w:tc>
      </w:tr>
      <w:tr w:rsidR="00BA5973" w14:paraId="7C8DDBCC" w14:textId="77777777" w:rsidTr="78FF34B9">
        <w:trPr>
          <w:trHeight w:val="300"/>
        </w:trPr>
        <w:tc>
          <w:tcPr>
            <w:tcW w:w="4393" w:type="dxa"/>
            <w:vAlign w:val="bottom"/>
            <w:hideMark/>
          </w:tcPr>
          <w:p w14:paraId="461F80FC" w14:textId="77777777" w:rsidR="00BA5973" w:rsidRPr="00BA5973" w:rsidRDefault="77646346">
            <w:pPr>
              <w:spacing w:after="0"/>
              <w:rPr>
                <w:rFonts w:ascii="Arial" w:hAnsi="Arial" w:cs="Arial"/>
                <w:sz w:val="24"/>
                <w:szCs w:val="24"/>
              </w:rPr>
            </w:pPr>
            <w:r w:rsidRPr="78FF34B9">
              <w:rPr>
                <w:rFonts w:ascii="Arial" w:hAnsi="Arial" w:cs="Arial"/>
                <w:sz w:val="24"/>
                <w:szCs w:val="24"/>
              </w:rPr>
              <w:t>£160,000 to £164,999</w:t>
            </w:r>
          </w:p>
        </w:tc>
        <w:tc>
          <w:tcPr>
            <w:tcW w:w="2445" w:type="dxa"/>
            <w:vAlign w:val="bottom"/>
            <w:hideMark/>
          </w:tcPr>
          <w:p w14:paraId="41A42A46"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w:t>
            </w:r>
          </w:p>
        </w:tc>
        <w:tc>
          <w:tcPr>
            <w:tcW w:w="2244" w:type="dxa"/>
            <w:vAlign w:val="bottom"/>
            <w:hideMark/>
          </w:tcPr>
          <w:p w14:paraId="51F69A64"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w:t>
            </w:r>
          </w:p>
        </w:tc>
      </w:tr>
      <w:tr w:rsidR="00BA5973" w14:paraId="471A717B" w14:textId="77777777" w:rsidTr="78FF34B9">
        <w:trPr>
          <w:trHeight w:val="300"/>
        </w:trPr>
        <w:tc>
          <w:tcPr>
            <w:tcW w:w="4393" w:type="dxa"/>
            <w:vAlign w:val="bottom"/>
            <w:hideMark/>
          </w:tcPr>
          <w:p w14:paraId="69360968" w14:textId="77777777" w:rsidR="00BA5973" w:rsidRPr="00BA5973" w:rsidRDefault="77646346">
            <w:pPr>
              <w:spacing w:after="0"/>
              <w:rPr>
                <w:rFonts w:ascii="Arial" w:hAnsi="Arial" w:cs="Arial"/>
                <w:sz w:val="24"/>
                <w:szCs w:val="24"/>
              </w:rPr>
            </w:pPr>
            <w:r w:rsidRPr="78FF34B9">
              <w:rPr>
                <w:rFonts w:ascii="Arial" w:hAnsi="Arial" w:cs="Arial"/>
                <w:sz w:val="24"/>
                <w:szCs w:val="24"/>
              </w:rPr>
              <w:t>£165,000 to £169,999</w:t>
            </w:r>
          </w:p>
        </w:tc>
        <w:tc>
          <w:tcPr>
            <w:tcW w:w="2445" w:type="dxa"/>
            <w:vAlign w:val="bottom"/>
            <w:hideMark/>
          </w:tcPr>
          <w:p w14:paraId="5913D4FD"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w:t>
            </w:r>
          </w:p>
        </w:tc>
        <w:tc>
          <w:tcPr>
            <w:tcW w:w="2244" w:type="dxa"/>
            <w:vAlign w:val="bottom"/>
            <w:hideMark/>
          </w:tcPr>
          <w:p w14:paraId="68DED190"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w:t>
            </w:r>
          </w:p>
        </w:tc>
      </w:tr>
      <w:tr w:rsidR="00BA5973" w14:paraId="1F201E80" w14:textId="77777777" w:rsidTr="78FF34B9">
        <w:trPr>
          <w:trHeight w:val="300"/>
        </w:trPr>
        <w:tc>
          <w:tcPr>
            <w:tcW w:w="4393" w:type="dxa"/>
            <w:vAlign w:val="bottom"/>
            <w:hideMark/>
          </w:tcPr>
          <w:p w14:paraId="5C80524D" w14:textId="77777777" w:rsidR="00BA5973" w:rsidRPr="00BA5973" w:rsidRDefault="77646346">
            <w:pPr>
              <w:spacing w:after="0"/>
              <w:rPr>
                <w:rFonts w:ascii="Arial" w:hAnsi="Arial" w:cs="Arial"/>
                <w:sz w:val="24"/>
                <w:szCs w:val="24"/>
              </w:rPr>
            </w:pPr>
            <w:r w:rsidRPr="78FF34B9">
              <w:rPr>
                <w:rFonts w:ascii="Arial" w:hAnsi="Arial" w:cs="Arial"/>
                <w:sz w:val="24"/>
                <w:szCs w:val="24"/>
              </w:rPr>
              <w:t>£170,000 to £174,999</w:t>
            </w:r>
          </w:p>
        </w:tc>
        <w:tc>
          <w:tcPr>
            <w:tcW w:w="2445" w:type="dxa"/>
            <w:vAlign w:val="bottom"/>
            <w:hideMark/>
          </w:tcPr>
          <w:p w14:paraId="41E22CEA"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w:t>
            </w:r>
          </w:p>
        </w:tc>
        <w:tc>
          <w:tcPr>
            <w:tcW w:w="2244" w:type="dxa"/>
            <w:vAlign w:val="bottom"/>
            <w:hideMark/>
          </w:tcPr>
          <w:p w14:paraId="1CE1D7CA"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w:t>
            </w:r>
          </w:p>
        </w:tc>
      </w:tr>
      <w:tr w:rsidR="00BA5973" w14:paraId="28397FB5" w14:textId="77777777" w:rsidTr="78FF34B9">
        <w:trPr>
          <w:trHeight w:val="300"/>
        </w:trPr>
        <w:tc>
          <w:tcPr>
            <w:tcW w:w="4393" w:type="dxa"/>
            <w:vAlign w:val="bottom"/>
            <w:hideMark/>
          </w:tcPr>
          <w:p w14:paraId="2E3EDE3B" w14:textId="77777777" w:rsidR="00BA5973" w:rsidRPr="00BA5973" w:rsidRDefault="77646346">
            <w:pPr>
              <w:rPr>
                <w:rFonts w:ascii="Arial" w:hAnsi="Arial" w:cs="Arial"/>
                <w:sz w:val="24"/>
                <w:szCs w:val="24"/>
              </w:rPr>
            </w:pPr>
            <w:r w:rsidRPr="78FF34B9">
              <w:rPr>
                <w:rFonts w:ascii="Arial" w:hAnsi="Arial" w:cs="Arial"/>
                <w:sz w:val="24"/>
                <w:szCs w:val="24"/>
              </w:rPr>
              <w:t>£174,000 to £179,999</w:t>
            </w:r>
          </w:p>
        </w:tc>
        <w:tc>
          <w:tcPr>
            <w:tcW w:w="2445" w:type="dxa"/>
            <w:vAlign w:val="bottom"/>
            <w:hideMark/>
          </w:tcPr>
          <w:p w14:paraId="3CE04D15" w14:textId="77777777" w:rsidR="00BA5973" w:rsidRPr="00BA5973" w:rsidRDefault="77646346">
            <w:pPr>
              <w:jc w:val="right"/>
              <w:rPr>
                <w:rFonts w:ascii="Arial" w:hAnsi="Arial" w:cs="Arial"/>
                <w:sz w:val="24"/>
                <w:szCs w:val="24"/>
              </w:rPr>
            </w:pPr>
            <w:r w:rsidRPr="78FF34B9">
              <w:rPr>
                <w:rFonts w:ascii="Arial" w:hAnsi="Arial" w:cs="Arial"/>
                <w:sz w:val="24"/>
                <w:szCs w:val="24"/>
              </w:rPr>
              <w:t>1</w:t>
            </w:r>
          </w:p>
        </w:tc>
        <w:tc>
          <w:tcPr>
            <w:tcW w:w="2244" w:type="dxa"/>
            <w:vAlign w:val="bottom"/>
            <w:hideMark/>
          </w:tcPr>
          <w:p w14:paraId="03F9FBB2" w14:textId="77777777" w:rsidR="00BA5973" w:rsidRPr="00BA5973" w:rsidRDefault="77646346">
            <w:pPr>
              <w:jc w:val="right"/>
              <w:rPr>
                <w:rFonts w:ascii="Arial" w:hAnsi="Arial" w:cs="Arial"/>
                <w:sz w:val="24"/>
                <w:szCs w:val="24"/>
              </w:rPr>
            </w:pPr>
            <w:r w:rsidRPr="78FF34B9">
              <w:rPr>
                <w:rFonts w:ascii="Arial" w:hAnsi="Arial" w:cs="Arial"/>
                <w:sz w:val="24"/>
                <w:szCs w:val="24"/>
              </w:rPr>
              <w:t>-</w:t>
            </w:r>
          </w:p>
        </w:tc>
      </w:tr>
      <w:tr w:rsidR="00BA5973" w14:paraId="20FC5914" w14:textId="77777777" w:rsidTr="78FF34B9">
        <w:trPr>
          <w:trHeight w:val="300"/>
        </w:trPr>
        <w:tc>
          <w:tcPr>
            <w:tcW w:w="4393" w:type="dxa"/>
            <w:vAlign w:val="bottom"/>
          </w:tcPr>
          <w:p w14:paraId="40E50464" w14:textId="77777777" w:rsidR="00BA5973" w:rsidRPr="00BA5973" w:rsidRDefault="00BA5973">
            <w:pPr>
              <w:spacing w:after="0"/>
              <w:rPr>
                <w:rFonts w:ascii="Arial" w:hAnsi="Arial" w:cs="Arial"/>
                <w:sz w:val="24"/>
                <w:szCs w:val="24"/>
              </w:rPr>
            </w:pPr>
          </w:p>
        </w:tc>
        <w:tc>
          <w:tcPr>
            <w:tcW w:w="2445" w:type="dxa"/>
            <w:tcBorders>
              <w:top w:val="nil"/>
              <w:left w:val="nil"/>
              <w:bottom w:val="single" w:sz="4" w:space="0" w:color="auto"/>
              <w:right w:val="nil"/>
            </w:tcBorders>
            <w:vAlign w:val="bottom"/>
          </w:tcPr>
          <w:p w14:paraId="2CE64EAA" w14:textId="77777777" w:rsidR="00BA5973" w:rsidRPr="00BA5973" w:rsidRDefault="00BA5973">
            <w:pPr>
              <w:spacing w:after="0"/>
              <w:jc w:val="right"/>
              <w:rPr>
                <w:rFonts w:ascii="Arial" w:hAnsi="Arial" w:cs="Arial"/>
                <w:sz w:val="24"/>
                <w:szCs w:val="24"/>
              </w:rPr>
            </w:pPr>
          </w:p>
        </w:tc>
        <w:tc>
          <w:tcPr>
            <w:tcW w:w="2244" w:type="dxa"/>
            <w:tcBorders>
              <w:top w:val="nil"/>
              <w:left w:val="nil"/>
              <w:bottom w:val="single" w:sz="4" w:space="0" w:color="auto"/>
              <w:right w:val="nil"/>
            </w:tcBorders>
            <w:vAlign w:val="bottom"/>
          </w:tcPr>
          <w:p w14:paraId="1A649D89" w14:textId="77777777" w:rsidR="00BA5973" w:rsidRPr="00BA5973" w:rsidRDefault="00BA5973" w:rsidP="00036288">
            <w:pPr>
              <w:spacing w:after="0"/>
              <w:rPr>
                <w:rFonts w:ascii="Arial" w:hAnsi="Arial" w:cs="Arial"/>
                <w:sz w:val="24"/>
                <w:szCs w:val="24"/>
              </w:rPr>
            </w:pPr>
          </w:p>
        </w:tc>
      </w:tr>
      <w:tr w:rsidR="00BA5973" w14:paraId="4FC73FB6" w14:textId="77777777" w:rsidTr="78FF34B9">
        <w:trPr>
          <w:trHeight w:val="300"/>
        </w:trPr>
        <w:tc>
          <w:tcPr>
            <w:tcW w:w="4393" w:type="dxa"/>
          </w:tcPr>
          <w:p w14:paraId="0BF2129C" w14:textId="77777777" w:rsidR="00BA5973" w:rsidRPr="00BA5973" w:rsidRDefault="00BA5973">
            <w:pPr>
              <w:spacing w:after="0"/>
              <w:rPr>
                <w:rFonts w:ascii="Arial" w:hAnsi="Arial" w:cs="Arial"/>
                <w:sz w:val="24"/>
                <w:szCs w:val="24"/>
              </w:rPr>
            </w:pPr>
          </w:p>
        </w:tc>
        <w:tc>
          <w:tcPr>
            <w:tcW w:w="2445" w:type="dxa"/>
            <w:tcBorders>
              <w:top w:val="single" w:sz="4" w:space="0" w:color="auto"/>
              <w:left w:val="nil"/>
              <w:bottom w:val="double" w:sz="4" w:space="0" w:color="auto"/>
              <w:right w:val="nil"/>
            </w:tcBorders>
            <w:vAlign w:val="bottom"/>
            <w:hideMark/>
          </w:tcPr>
          <w:p w14:paraId="60C0A2F1"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16</w:t>
            </w:r>
          </w:p>
        </w:tc>
        <w:tc>
          <w:tcPr>
            <w:tcW w:w="2244" w:type="dxa"/>
            <w:tcBorders>
              <w:top w:val="single" w:sz="4" w:space="0" w:color="auto"/>
              <w:left w:val="nil"/>
              <w:bottom w:val="double" w:sz="4" w:space="0" w:color="auto"/>
              <w:right w:val="nil"/>
            </w:tcBorders>
            <w:vAlign w:val="bottom"/>
            <w:hideMark/>
          </w:tcPr>
          <w:p w14:paraId="5937E133" w14:textId="77777777" w:rsidR="00BA5973" w:rsidRPr="00BA5973" w:rsidRDefault="77646346">
            <w:pPr>
              <w:spacing w:after="0"/>
              <w:jc w:val="right"/>
              <w:rPr>
                <w:rFonts w:ascii="Arial" w:hAnsi="Arial" w:cs="Arial"/>
                <w:sz w:val="24"/>
                <w:szCs w:val="24"/>
              </w:rPr>
            </w:pPr>
            <w:r w:rsidRPr="78FF34B9">
              <w:rPr>
                <w:rFonts w:ascii="Arial" w:hAnsi="Arial" w:cs="Arial"/>
                <w:sz w:val="24"/>
                <w:szCs w:val="24"/>
              </w:rPr>
              <w:t>12</w:t>
            </w:r>
          </w:p>
        </w:tc>
      </w:tr>
    </w:tbl>
    <w:p w14:paraId="02E06B52" w14:textId="34E84A97" w:rsidR="00C76BDD" w:rsidRPr="00C76BDD" w:rsidRDefault="00C76BDD" w:rsidP="00C76BDD">
      <w:pPr>
        <w:spacing w:after="0" w:line="240" w:lineRule="auto"/>
        <w:textAlignment w:val="baseline"/>
        <w:rPr>
          <w:rFonts w:ascii="Segoe UI" w:eastAsia="Times New Roman" w:hAnsi="Segoe UI" w:cs="Segoe UI"/>
          <w:b/>
          <w:bCs/>
          <w:color w:val="002D56"/>
          <w:kern w:val="0"/>
          <w:sz w:val="18"/>
          <w:szCs w:val="18"/>
          <w:lang w:eastAsia="en-GB"/>
          <w14:ligatures w14:val="none"/>
        </w:rPr>
      </w:pPr>
    </w:p>
    <w:p w14:paraId="0C4231D4" w14:textId="77777777" w:rsidR="00BA5973" w:rsidRDefault="00BA5973" w:rsidP="78FF34B9">
      <w:pPr>
        <w:spacing w:after="0" w:line="240" w:lineRule="auto"/>
        <w:textAlignment w:val="baseline"/>
        <w:rPr>
          <w:rFonts w:ascii="Arial" w:eastAsia="Arial" w:hAnsi="Arial" w:cs="Arial"/>
          <w:b/>
          <w:bCs/>
          <w:color w:val="000000"/>
          <w:kern w:val="0"/>
          <w:sz w:val="24"/>
          <w:szCs w:val="24"/>
          <w:lang w:eastAsia="en-GB"/>
          <w14:ligatures w14:val="none"/>
        </w:rPr>
      </w:pPr>
    </w:p>
    <w:p w14:paraId="6CFD849E" w14:textId="404AAFAC" w:rsidR="00C76BDD" w:rsidRDefault="00C76BDD" w:rsidP="00C76BDD">
      <w:pPr>
        <w:spacing w:after="0" w:line="240" w:lineRule="auto"/>
        <w:textAlignment w:val="baseline"/>
        <w:rPr>
          <w:rFonts w:ascii="Arial" w:eastAsia="Arial" w:hAnsi="Arial" w:cs="Arial"/>
          <w:b/>
          <w:color w:val="000000"/>
          <w:kern w:val="0"/>
          <w:sz w:val="24"/>
          <w:szCs w:val="24"/>
          <w:lang w:eastAsia="en-GB"/>
          <w14:ligatures w14:val="none"/>
        </w:rPr>
      </w:pPr>
      <w:r w:rsidRPr="7851EDB6">
        <w:rPr>
          <w:rFonts w:ascii="Arial" w:eastAsia="Arial" w:hAnsi="Arial" w:cs="Arial"/>
          <w:b/>
          <w:color w:val="000000"/>
          <w:kern w:val="0"/>
          <w:sz w:val="24"/>
          <w:szCs w:val="24"/>
          <w:lang w:eastAsia="en-GB"/>
          <w14:ligatures w14:val="none"/>
        </w:rPr>
        <w:t>Remuneration for other staff groups </w:t>
      </w:r>
    </w:p>
    <w:p w14:paraId="0196640E" w14:textId="77777777" w:rsidR="00B57888" w:rsidRPr="00C76BDD" w:rsidRDefault="00B57888" w:rsidP="00C76BDD">
      <w:pPr>
        <w:spacing w:after="0" w:line="240" w:lineRule="auto"/>
        <w:textAlignment w:val="baseline"/>
        <w:rPr>
          <w:rFonts w:ascii="Arial" w:eastAsia="Arial" w:hAnsi="Arial" w:cs="Arial"/>
          <w:b/>
          <w:color w:val="002D56"/>
          <w:kern w:val="0"/>
          <w:sz w:val="24"/>
          <w:szCs w:val="24"/>
          <w:lang w:eastAsia="en-GB"/>
          <w14:ligatures w14:val="none"/>
        </w:rPr>
      </w:pPr>
    </w:p>
    <w:p w14:paraId="54D5A426" w14:textId="77777777" w:rsidR="00C76BDD" w:rsidRDefault="00C76BDD" w:rsidP="00C76BDD">
      <w:pPr>
        <w:spacing w:after="0" w:line="240" w:lineRule="auto"/>
        <w:textAlignment w:val="baseline"/>
        <w:rPr>
          <w:rFonts w:ascii="Arial" w:eastAsia="Arial" w:hAnsi="Arial" w:cs="Arial"/>
          <w:color w:val="000000"/>
          <w:kern w:val="0"/>
          <w:sz w:val="24"/>
          <w:szCs w:val="24"/>
          <w:lang w:eastAsia="en-GB"/>
          <w14:ligatures w14:val="none"/>
        </w:rPr>
      </w:pPr>
      <w:proofErr w:type="gramStart"/>
      <w:r w:rsidRPr="7851EDB6">
        <w:rPr>
          <w:rFonts w:ascii="Arial" w:eastAsia="Arial" w:hAnsi="Arial" w:cs="Arial"/>
          <w:color w:val="000000"/>
          <w:kern w:val="0"/>
          <w:sz w:val="24"/>
          <w:szCs w:val="24"/>
          <w:lang w:eastAsia="en-GB"/>
          <w14:ligatures w14:val="none"/>
        </w:rPr>
        <w:t>The majority of</w:t>
      </w:r>
      <w:proofErr w:type="gramEnd"/>
      <w:r w:rsidRPr="7851EDB6">
        <w:rPr>
          <w:rFonts w:ascii="Arial" w:eastAsia="Arial" w:hAnsi="Arial" w:cs="Arial"/>
          <w:color w:val="000000"/>
          <w:kern w:val="0"/>
          <w:sz w:val="24"/>
          <w:szCs w:val="24"/>
          <w:lang w:eastAsia="en-GB"/>
          <w14:ligatures w14:val="none"/>
        </w:rPr>
        <w:t xml:space="preserve"> other staff are on the New JNCHES pay spine and covered by the University’s Grading Structure which consist of nine grades.  These grades are supported by the Higher Education Role Analysis (HERA) role evaluation methodology. </w:t>
      </w:r>
    </w:p>
    <w:p w14:paraId="02F29A2A" w14:textId="77777777" w:rsidR="00B57888" w:rsidRPr="00C76BDD" w:rsidRDefault="00B57888" w:rsidP="00C76BDD">
      <w:pPr>
        <w:spacing w:after="0" w:line="240" w:lineRule="auto"/>
        <w:textAlignment w:val="baseline"/>
        <w:rPr>
          <w:rFonts w:ascii="Arial" w:eastAsia="Arial" w:hAnsi="Arial" w:cs="Arial"/>
          <w:color w:val="002D56"/>
          <w:kern w:val="0"/>
          <w:sz w:val="24"/>
          <w:szCs w:val="24"/>
          <w:lang w:eastAsia="en-GB"/>
          <w14:ligatures w14:val="none"/>
        </w:rPr>
      </w:pPr>
    </w:p>
    <w:p w14:paraId="23071E4C" w14:textId="77777777" w:rsidR="00C76BDD" w:rsidRDefault="00C76BDD" w:rsidP="00C76BDD">
      <w:pPr>
        <w:spacing w:after="0" w:line="240" w:lineRule="auto"/>
        <w:textAlignment w:val="baseline"/>
        <w:rPr>
          <w:rFonts w:ascii="Arial" w:eastAsia="Arial" w:hAnsi="Arial" w:cs="Arial"/>
          <w:color w:val="000000"/>
          <w:kern w:val="0"/>
          <w:sz w:val="24"/>
          <w:szCs w:val="24"/>
          <w:lang w:eastAsia="en-GB"/>
          <w14:ligatures w14:val="none"/>
        </w:rPr>
      </w:pPr>
      <w:r w:rsidRPr="7851EDB6">
        <w:rPr>
          <w:rFonts w:ascii="Arial" w:eastAsia="Arial" w:hAnsi="Arial" w:cs="Arial"/>
          <w:color w:val="000000"/>
          <w:kern w:val="0"/>
          <w:sz w:val="24"/>
          <w:szCs w:val="24"/>
          <w:lang w:eastAsia="en-GB"/>
          <w14:ligatures w14:val="none"/>
        </w:rPr>
        <w:t>Staff on the New JNCHES pay spine gain incremental pay increases annually based on skills, knowledge and experience, until they reach the top of the grade’s range.  They are also subject to any nationally agreed pay awards. </w:t>
      </w:r>
    </w:p>
    <w:p w14:paraId="57D2FB9F" w14:textId="77777777" w:rsidR="00C375C3" w:rsidRPr="00C76BDD" w:rsidRDefault="00C375C3" w:rsidP="00C76BDD">
      <w:pPr>
        <w:spacing w:after="0" w:line="240" w:lineRule="auto"/>
        <w:textAlignment w:val="baseline"/>
        <w:rPr>
          <w:rFonts w:ascii="Arial" w:eastAsia="Arial" w:hAnsi="Arial" w:cs="Arial"/>
          <w:color w:val="002D56"/>
          <w:kern w:val="0"/>
          <w:sz w:val="24"/>
          <w:szCs w:val="24"/>
          <w:lang w:eastAsia="en-GB"/>
          <w14:ligatures w14:val="none"/>
        </w:rPr>
      </w:pPr>
    </w:p>
    <w:p w14:paraId="632210F0" w14:textId="77777777" w:rsidR="00C76BDD" w:rsidRPr="00C76BDD" w:rsidRDefault="00C76BDD" w:rsidP="00C76BDD">
      <w:pPr>
        <w:spacing w:after="0" w:line="240" w:lineRule="auto"/>
        <w:textAlignment w:val="baseline"/>
        <w:rPr>
          <w:rFonts w:ascii="Arial" w:eastAsia="Arial" w:hAnsi="Arial" w:cs="Arial"/>
          <w:color w:val="002D56"/>
          <w:kern w:val="0"/>
          <w:sz w:val="24"/>
          <w:szCs w:val="24"/>
          <w:lang w:eastAsia="en-GB"/>
          <w14:ligatures w14:val="none"/>
        </w:rPr>
      </w:pPr>
      <w:r w:rsidRPr="7851EDB6">
        <w:rPr>
          <w:rFonts w:ascii="Arial" w:eastAsia="Arial" w:hAnsi="Arial" w:cs="Arial"/>
          <w:color w:val="000000"/>
          <w:kern w:val="0"/>
          <w:sz w:val="24"/>
          <w:szCs w:val="24"/>
          <w:lang w:eastAsia="en-GB"/>
          <w14:ligatures w14:val="none"/>
        </w:rPr>
        <w:t>The University offers a comprehensive range of both financial and non-financial workplace benefits. </w:t>
      </w:r>
    </w:p>
    <w:p w14:paraId="2CF0C465" w14:textId="77777777" w:rsidR="00C76BDD" w:rsidRPr="00C76BDD" w:rsidRDefault="00C76BDD" w:rsidP="00C76BDD">
      <w:pPr>
        <w:spacing w:after="0" w:line="240" w:lineRule="auto"/>
        <w:textAlignment w:val="baseline"/>
        <w:rPr>
          <w:rFonts w:ascii="Arial" w:eastAsia="Arial" w:hAnsi="Arial" w:cs="Arial"/>
          <w:color w:val="002D56"/>
          <w:kern w:val="0"/>
          <w:sz w:val="24"/>
          <w:szCs w:val="24"/>
          <w:lang w:eastAsia="en-GB"/>
          <w14:ligatures w14:val="none"/>
        </w:rPr>
      </w:pPr>
      <w:r w:rsidRPr="7851EDB6">
        <w:rPr>
          <w:rFonts w:ascii="Arial" w:eastAsia="Arial" w:hAnsi="Arial" w:cs="Arial"/>
          <w:color w:val="000000"/>
          <w:kern w:val="0"/>
          <w:sz w:val="24"/>
          <w:szCs w:val="24"/>
          <w:lang w:eastAsia="en-GB"/>
          <w14:ligatures w14:val="none"/>
        </w:rPr>
        <w:t> </w:t>
      </w:r>
    </w:p>
    <w:p w14:paraId="2BAB1E2D" w14:textId="77777777" w:rsidR="00C76BDD" w:rsidRDefault="00C76BDD" w:rsidP="00C76BDD">
      <w:pPr>
        <w:spacing w:after="0" w:line="240" w:lineRule="auto"/>
        <w:textAlignment w:val="baseline"/>
        <w:rPr>
          <w:rFonts w:ascii="Arial" w:eastAsia="Arial" w:hAnsi="Arial" w:cs="Arial"/>
          <w:b/>
          <w:color w:val="000000"/>
          <w:kern w:val="0"/>
          <w:sz w:val="24"/>
          <w:szCs w:val="24"/>
          <w:lang w:eastAsia="en-GB"/>
          <w14:ligatures w14:val="none"/>
        </w:rPr>
      </w:pPr>
      <w:r w:rsidRPr="7851EDB6">
        <w:rPr>
          <w:rFonts w:ascii="Arial" w:eastAsia="Arial" w:hAnsi="Arial" w:cs="Arial"/>
          <w:b/>
          <w:color w:val="000000"/>
          <w:kern w:val="0"/>
          <w:sz w:val="24"/>
          <w:szCs w:val="24"/>
          <w:lang w:eastAsia="en-GB"/>
          <w14:ligatures w14:val="none"/>
        </w:rPr>
        <w:t>Living Wage Employer </w:t>
      </w:r>
    </w:p>
    <w:p w14:paraId="1533A3F0" w14:textId="77777777" w:rsidR="00B57888" w:rsidRPr="00C76BDD" w:rsidRDefault="00B57888" w:rsidP="00C76BDD">
      <w:pPr>
        <w:spacing w:after="0" w:line="240" w:lineRule="auto"/>
        <w:textAlignment w:val="baseline"/>
        <w:rPr>
          <w:rFonts w:ascii="Arial" w:eastAsia="Arial" w:hAnsi="Arial" w:cs="Arial"/>
          <w:b/>
          <w:color w:val="002D56"/>
          <w:kern w:val="0"/>
          <w:sz w:val="24"/>
          <w:szCs w:val="24"/>
          <w:lang w:eastAsia="en-GB"/>
          <w14:ligatures w14:val="none"/>
        </w:rPr>
      </w:pPr>
    </w:p>
    <w:p w14:paraId="5EB162C3" w14:textId="77777777" w:rsidR="00C76BDD" w:rsidRPr="00C76BDD" w:rsidRDefault="00C76BDD" w:rsidP="00C76BDD">
      <w:pPr>
        <w:spacing w:after="0" w:line="240" w:lineRule="auto"/>
        <w:textAlignment w:val="baseline"/>
        <w:rPr>
          <w:rFonts w:ascii="Arial" w:eastAsia="Arial" w:hAnsi="Arial" w:cs="Arial"/>
          <w:color w:val="002D56"/>
          <w:kern w:val="0"/>
          <w:sz w:val="24"/>
          <w:szCs w:val="24"/>
          <w:lang w:eastAsia="en-GB"/>
          <w14:ligatures w14:val="none"/>
        </w:rPr>
      </w:pPr>
      <w:r w:rsidRPr="7851EDB6">
        <w:rPr>
          <w:rFonts w:ascii="Arial" w:eastAsia="Arial" w:hAnsi="Arial" w:cs="Arial"/>
          <w:color w:val="000000"/>
          <w:kern w:val="0"/>
          <w:sz w:val="24"/>
          <w:szCs w:val="24"/>
          <w:lang w:eastAsia="en-GB"/>
          <w14:ligatures w14:val="none"/>
        </w:rPr>
        <w:t>The University is an accredited Living Wage employer and as a result all staff receive at least the Living Wage foundation rate of pay. </w:t>
      </w:r>
    </w:p>
    <w:p w14:paraId="5626B871" w14:textId="77777777" w:rsidR="00C76BDD" w:rsidRPr="00C76BDD" w:rsidRDefault="00C76BDD" w:rsidP="00C76BDD">
      <w:pPr>
        <w:spacing w:after="0" w:line="240" w:lineRule="auto"/>
        <w:textAlignment w:val="baseline"/>
        <w:rPr>
          <w:rFonts w:ascii="Arial" w:eastAsia="Arial" w:hAnsi="Arial" w:cs="Arial"/>
          <w:color w:val="002D56"/>
          <w:kern w:val="0"/>
          <w:sz w:val="24"/>
          <w:szCs w:val="24"/>
          <w:lang w:eastAsia="en-GB"/>
          <w14:ligatures w14:val="none"/>
        </w:rPr>
      </w:pPr>
      <w:r w:rsidRPr="7851EDB6">
        <w:rPr>
          <w:rFonts w:ascii="Arial" w:eastAsia="Arial" w:hAnsi="Arial" w:cs="Arial"/>
          <w:color w:val="000000"/>
          <w:kern w:val="0"/>
          <w:sz w:val="24"/>
          <w:szCs w:val="24"/>
          <w:lang w:eastAsia="en-GB"/>
          <w14:ligatures w14:val="none"/>
        </w:rPr>
        <w:t> </w:t>
      </w:r>
    </w:p>
    <w:p w14:paraId="0D5B641E" w14:textId="48B65D4B" w:rsidR="00987405" w:rsidRDefault="00987405" w:rsidP="78FF34B9">
      <w:pPr>
        <w:spacing w:after="0" w:line="240" w:lineRule="auto"/>
        <w:textAlignment w:val="baseline"/>
        <w:rPr>
          <w:rFonts w:ascii="Arial" w:eastAsia="Arial" w:hAnsi="Arial" w:cs="Arial"/>
          <w:b/>
          <w:bCs/>
          <w:color w:val="000000"/>
          <w:kern w:val="0"/>
          <w:sz w:val="24"/>
          <w:szCs w:val="24"/>
          <w:lang w:eastAsia="en-GB"/>
          <w14:ligatures w14:val="none"/>
        </w:rPr>
      </w:pPr>
    </w:p>
    <w:p w14:paraId="267EAC95" w14:textId="321C93B5" w:rsidR="00C76BDD" w:rsidRDefault="00C76BDD" w:rsidP="00C76BDD">
      <w:pPr>
        <w:spacing w:after="0" w:line="240" w:lineRule="auto"/>
        <w:textAlignment w:val="baseline"/>
        <w:rPr>
          <w:rFonts w:ascii="Arial" w:eastAsia="Arial" w:hAnsi="Arial" w:cs="Arial"/>
          <w:b/>
          <w:color w:val="000000"/>
          <w:kern w:val="0"/>
          <w:sz w:val="24"/>
          <w:szCs w:val="24"/>
          <w:lang w:eastAsia="en-GB"/>
          <w14:ligatures w14:val="none"/>
        </w:rPr>
      </w:pPr>
      <w:r w:rsidRPr="7851EDB6">
        <w:rPr>
          <w:rFonts w:ascii="Arial" w:eastAsia="Arial" w:hAnsi="Arial" w:cs="Arial"/>
          <w:b/>
          <w:color w:val="000000"/>
          <w:kern w:val="0"/>
          <w:sz w:val="24"/>
          <w:szCs w:val="24"/>
          <w:lang w:eastAsia="en-GB"/>
          <w14:ligatures w14:val="none"/>
        </w:rPr>
        <w:t>Exit Policy </w:t>
      </w:r>
    </w:p>
    <w:p w14:paraId="1A61A0DC" w14:textId="77777777" w:rsidR="00B57888" w:rsidRPr="00C76BDD" w:rsidRDefault="00B57888" w:rsidP="00C76BDD">
      <w:pPr>
        <w:spacing w:after="0" w:line="240" w:lineRule="auto"/>
        <w:textAlignment w:val="baseline"/>
        <w:rPr>
          <w:rFonts w:ascii="Arial" w:eastAsia="Arial" w:hAnsi="Arial" w:cs="Arial"/>
          <w:b/>
          <w:color w:val="002D56"/>
          <w:kern w:val="0"/>
          <w:sz w:val="24"/>
          <w:szCs w:val="24"/>
          <w:lang w:eastAsia="en-GB"/>
          <w14:ligatures w14:val="none"/>
        </w:rPr>
      </w:pPr>
    </w:p>
    <w:p w14:paraId="64869951" w14:textId="09849D6A" w:rsidR="00AD224B" w:rsidRPr="00B57888" w:rsidRDefault="00C76BDD" w:rsidP="00B57888">
      <w:pPr>
        <w:spacing w:after="0" w:line="240" w:lineRule="auto"/>
        <w:textAlignment w:val="baseline"/>
        <w:rPr>
          <w:rFonts w:ascii="Arial" w:eastAsia="Arial" w:hAnsi="Arial" w:cs="Arial"/>
          <w:color w:val="002D56"/>
          <w:kern w:val="0"/>
          <w:sz w:val="24"/>
          <w:szCs w:val="24"/>
          <w:lang w:eastAsia="en-GB"/>
          <w14:ligatures w14:val="none"/>
        </w:rPr>
      </w:pPr>
      <w:r w:rsidRPr="7851EDB6">
        <w:rPr>
          <w:rFonts w:ascii="Arial" w:eastAsia="Arial" w:hAnsi="Arial" w:cs="Arial"/>
          <w:color w:val="000000"/>
          <w:kern w:val="0"/>
          <w:sz w:val="24"/>
          <w:szCs w:val="24"/>
          <w:lang w:eastAsia="en-GB"/>
          <w14:ligatures w14:val="none"/>
        </w:rPr>
        <w:t>All settlement agreements, including voluntary severance, for senior staff are agreed by the Remuneration Committee. Any redundancies related to academic and senior staff are subject to the University’s redundancy processes.   </w:t>
      </w:r>
    </w:p>
    <w:sectPr w:rsidR="00AD224B" w:rsidRPr="00B5788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5AFE4" w14:textId="77777777" w:rsidR="00780AC2" w:rsidRDefault="00780AC2" w:rsidP="0035631F">
      <w:pPr>
        <w:spacing w:after="0" w:line="240" w:lineRule="auto"/>
      </w:pPr>
      <w:r>
        <w:separator/>
      </w:r>
    </w:p>
  </w:endnote>
  <w:endnote w:type="continuationSeparator" w:id="0">
    <w:p w14:paraId="4CB94169" w14:textId="77777777" w:rsidR="00780AC2" w:rsidRDefault="00780AC2" w:rsidP="0035631F">
      <w:pPr>
        <w:spacing w:after="0" w:line="240" w:lineRule="auto"/>
      </w:pPr>
      <w:r>
        <w:continuationSeparator/>
      </w:r>
    </w:p>
  </w:endnote>
  <w:endnote w:type="continuationNotice" w:id="1">
    <w:p w14:paraId="37375BC9" w14:textId="77777777" w:rsidR="00780AC2" w:rsidRDefault="00780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9678" w14:textId="77777777" w:rsidR="00ED660E" w:rsidRDefault="00ED6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08E3" w14:textId="77777777" w:rsidR="00ED660E" w:rsidRDefault="00ED6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B790" w14:textId="77777777" w:rsidR="00ED660E" w:rsidRDefault="00ED6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1508E" w14:textId="77777777" w:rsidR="00780AC2" w:rsidRDefault="00780AC2" w:rsidP="0035631F">
      <w:pPr>
        <w:spacing w:after="0" w:line="240" w:lineRule="auto"/>
      </w:pPr>
      <w:r>
        <w:separator/>
      </w:r>
    </w:p>
  </w:footnote>
  <w:footnote w:type="continuationSeparator" w:id="0">
    <w:p w14:paraId="4291602B" w14:textId="77777777" w:rsidR="00780AC2" w:rsidRDefault="00780AC2" w:rsidP="0035631F">
      <w:pPr>
        <w:spacing w:after="0" w:line="240" w:lineRule="auto"/>
      </w:pPr>
      <w:r>
        <w:continuationSeparator/>
      </w:r>
    </w:p>
  </w:footnote>
  <w:footnote w:type="continuationNotice" w:id="1">
    <w:p w14:paraId="08A88420" w14:textId="77777777" w:rsidR="00780AC2" w:rsidRDefault="00780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AC17" w14:textId="77777777" w:rsidR="00ED660E" w:rsidRDefault="00ED6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A867" w14:textId="25750503" w:rsidR="0035631F" w:rsidRPr="00176E24" w:rsidRDefault="0035631F" w:rsidP="00176E24">
    <w:pPr>
      <w:pStyle w:val="Header"/>
      <w:jc w:val="right"/>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713B" w14:textId="77777777" w:rsidR="00ED660E" w:rsidRDefault="00ED6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0F6"/>
    <w:multiLevelType w:val="multilevel"/>
    <w:tmpl w:val="5F1AE12C"/>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1" w15:restartNumberingAfterBreak="0">
    <w:nsid w:val="17AA0A30"/>
    <w:multiLevelType w:val="multilevel"/>
    <w:tmpl w:val="0220FF4A"/>
    <w:lvl w:ilvl="0">
      <w:start w:val="1"/>
      <w:numFmt w:val="bullet"/>
      <w:lvlText w:val=""/>
      <w:lvlJc w:val="left"/>
      <w:pPr>
        <w:tabs>
          <w:tab w:val="num" w:pos="1440"/>
        </w:tabs>
        <w:ind w:left="1800" w:hanging="360"/>
      </w:pPr>
      <w:rPr>
        <w:rFonts w:ascii="Symbol" w:hAnsi="Symbol" w:hint="default"/>
        <w:sz w:val="20"/>
      </w:rPr>
    </w:lvl>
    <w:lvl w:ilvl="1" w:tentative="1">
      <w:start w:val="1"/>
      <w:numFmt w:val="bullet"/>
      <w:lvlText w:val=""/>
      <w:lvlJc w:val="left"/>
      <w:pPr>
        <w:tabs>
          <w:tab w:val="num" w:pos="2160"/>
        </w:tabs>
        <w:ind w:left="2520" w:hanging="360"/>
      </w:pPr>
      <w:rPr>
        <w:rFonts w:ascii="Symbol" w:hAnsi="Symbol" w:hint="default"/>
        <w:sz w:val="20"/>
      </w:rPr>
    </w:lvl>
    <w:lvl w:ilvl="2" w:tentative="1">
      <w:start w:val="1"/>
      <w:numFmt w:val="bullet"/>
      <w:lvlText w:val=""/>
      <w:lvlJc w:val="left"/>
      <w:pPr>
        <w:tabs>
          <w:tab w:val="num" w:pos="2880"/>
        </w:tabs>
        <w:ind w:left="3240" w:hanging="360"/>
      </w:pPr>
      <w:rPr>
        <w:rFonts w:ascii="Symbol" w:hAnsi="Symbol" w:hint="default"/>
        <w:sz w:val="20"/>
      </w:rPr>
    </w:lvl>
    <w:lvl w:ilvl="3" w:tentative="1">
      <w:start w:val="1"/>
      <w:numFmt w:val="bullet"/>
      <w:lvlText w:val=""/>
      <w:lvlJc w:val="left"/>
      <w:pPr>
        <w:tabs>
          <w:tab w:val="num" w:pos="3600"/>
        </w:tabs>
        <w:ind w:left="3960" w:hanging="360"/>
      </w:pPr>
      <w:rPr>
        <w:rFonts w:ascii="Symbol" w:hAnsi="Symbol" w:hint="default"/>
        <w:sz w:val="20"/>
      </w:rPr>
    </w:lvl>
    <w:lvl w:ilvl="4" w:tentative="1">
      <w:start w:val="1"/>
      <w:numFmt w:val="bullet"/>
      <w:lvlText w:val=""/>
      <w:lvlJc w:val="left"/>
      <w:pPr>
        <w:tabs>
          <w:tab w:val="num" w:pos="4320"/>
        </w:tabs>
        <w:ind w:left="4680" w:hanging="360"/>
      </w:pPr>
      <w:rPr>
        <w:rFonts w:ascii="Symbol" w:hAnsi="Symbol" w:hint="default"/>
        <w:sz w:val="20"/>
      </w:rPr>
    </w:lvl>
    <w:lvl w:ilvl="5" w:tentative="1">
      <w:start w:val="1"/>
      <w:numFmt w:val="bullet"/>
      <w:lvlText w:val=""/>
      <w:lvlJc w:val="left"/>
      <w:pPr>
        <w:tabs>
          <w:tab w:val="num" w:pos="5040"/>
        </w:tabs>
        <w:ind w:left="5400" w:hanging="360"/>
      </w:pPr>
      <w:rPr>
        <w:rFonts w:ascii="Symbol" w:hAnsi="Symbol" w:hint="default"/>
        <w:sz w:val="20"/>
      </w:rPr>
    </w:lvl>
    <w:lvl w:ilvl="6" w:tentative="1">
      <w:start w:val="1"/>
      <w:numFmt w:val="bullet"/>
      <w:lvlText w:val=""/>
      <w:lvlJc w:val="left"/>
      <w:pPr>
        <w:tabs>
          <w:tab w:val="num" w:pos="5760"/>
        </w:tabs>
        <w:ind w:left="6120" w:hanging="360"/>
      </w:pPr>
      <w:rPr>
        <w:rFonts w:ascii="Symbol" w:hAnsi="Symbol" w:hint="default"/>
        <w:sz w:val="20"/>
      </w:rPr>
    </w:lvl>
    <w:lvl w:ilvl="7" w:tentative="1">
      <w:start w:val="1"/>
      <w:numFmt w:val="bullet"/>
      <w:lvlText w:val=""/>
      <w:lvlJc w:val="left"/>
      <w:pPr>
        <w:tabs>
          <w:tab w:val="num" w:pos="6480"/>
        </w:tabs>
        <w:ind w:left="6840" w:hanging="360"/>
      </w:pPr>
      <w:rPr>
        <w:rFonts w:ascii="Symbol" w:hAnsi="Symbol" w:hint="default"/>
        <w:sz w:val="20"/>
      </w:rPr>
    </w:lvl>
    <w:lvl w:ilvl="8" w:tentative="1">
      <w:start w:val="1"/>
      <w:numFmt w:val="bullet"/>
      <w:lvlText w:val=""/>
      <w:lvlJc w:val="left"/>
      <w:pPr>
        <w:tabs>
          <w:tab w:val="num" w:pos="7200"/>
        </w:tabs>
        <w:ind w:left="7560" w:hanging="360"/>
      </w:pPr>
      <w:rPr>
        <w:rFonts w:ascii="Symbol" w:hAnsi="Symbol" w:hint="default"/>
        <w:sz w:val="20"/>
      </w:rPr>
    </w:lvl>
  </w:abstractNum>
  <w:abstractNum w:abstractNumId="2" w15:restartNumberingAfterBreak="0">
    <w:nsid w:val="18EF4A97"/>
    <w:multiLevelType w:val="multilevel"/>
    <w:tmpl w:val="6DB8A708"/>
    <w:lvl w:ilvl="0">
      <w:start w:val="1"/>
      <w:numFmt w:val="bullet"/>
      <w:lvlText w:val=""/>
      <w:lvlJc w:val="left"/>
      <w:pPr>
        <w:tabs>
          <w:tab w:val="num" w:pos="1080"/>
        </w:tabs>
        <w:ind w:left="1440" w:hanging="360"/>
      </w:pPr>
      <w:rPr>
        <w:rFonts w:ascii="Symbol" w:hAnsi="Symbol" w:hint="default"/>
        <w:sz w:val="20"/>
      </w:rPr>
    </w:lvl>
    <w:lvl w:ilvl="1" w:tentative="1">
      <w:start w:val="1"/>
      <w:numFmt w:val="bullet"/>
      <w:lvlText w:val=""/>
      <w:lvlJc w:val="left"/>
      <w:pPr>
        <w:tabs>
          <w:tab w:val="num" w:pos="1800"/>
        </w:tabs>
        <w:ind w:left="2160" w:hanging="360"/>
      </w:pPr>
      <w:rPr>
        <w:rFonts w:ascii="Symbol" w:hAnsi="Symbol" w:hint="default"/>
        <w:sz w:val="20"/>
      </w:rPr>
    </w:lvl>
    <w:lvl w:ilvl="2" w:tentative="1">
      <w:start w:val="1"/>
      <w:numFmt w:val="bullet"/>
      <w:lvlText w:val=""/>
      <w:lvlJc w:val="left"/>
      <w:pPr>
        <w:tabs>
          <w:tab w:val="num" w:pos="2520"/>
        </w:tabs>
        <w:ind w:left="2880" w:hanging="360"/>
      </w:pPr>
      <w:rPr>
        <w:rFonts w:ascii="Symbol" w:hAnsi="Symbol" w:hint="default"/>
        <w:sz w:val="20"/>
      </w:rPr>
    </w:lvl>
    <w:lvl w:ilvl="3" w:tentative="1">
      <w:start w:val="1"/>
      <w:numFmt w:val="bullet"/>
      <w:lvlText w:val=""/>
      <w:lvlJc w:val="left"/>
      <w:pPr>
        <w:tabs>
          <w:tab w:val="num" w:pos="3240"/>
        </w:tabs>
        <w:ind w:left="3600" w:hanging="360"/>
      </w:pPr>
      <w:rPr>
        <w:rFonts w:ascii="Symbol" w:hAnsi="Symbol" w:hint="default"/>
        <w:sz w:val="20"/>
      </w:rPr>
    </w:lvl>
    <w:lvl w:ilvl="4" w:tentative="1">
      <w:start w:val="1"/>
      <w:numFmt w:val="bullet"/>
      <w:lvlText w:val=""/>
      <w:lvlJc w:val="left"/>
      <w:pPr>
        <w:tabs>
          <w:tab w:val="num" w:pos="3960"/>
        </w:tabs>
        <w:ind w:left="4320" w:hanging="360"/>
      </w:pPr>
      <w:rPr>
        <w:rFonts w:ascii="Symbol" w:hAnsi="Symbol" w:hint="default"/>
        <w:sz w:val="20"/>
      </w:rPr>
    </w:lvl>
    <w:lvl w:ilvl="5" w:tentative="1">
      <w:start w:val="1"/>
      <w:numFmt w:val="bullet"/>
      <w:lvlText w:val=""/>
      <w:lvlJc w:val="left"/>
      <w:pPr>
        <w:tabs>
          <w:tab w:val="num" w:pos="4680"/>
        </w:tabs>
        <w:ind w:left="5040" w:hanging="360"/>
      </w:pPr>
      <w:rPr>
        <w:rFonts w:ascii="Symbol" w:hAnsi="Symbol" w:hint="default"/>
        <w:sz w:val="20"/>
      </w:rPr>
    </w:lvl>
    <w:lvl w:ilvl="6" w:tentative="1">
      <w:start w:val="1"/>
      <w:numFmt w:val="bullet"/>
      <w:lvlText w:val=""/>
      <w:lvlJc w:val="left"/>
      <w:pPr>
        <w:tabs>
          <w:tab w:val="num" w:pos="5400"/>
        </w:tabs>
        <w:ind w:left="5760" w:hanging="360"/>
      </w:pPr>
      <w:rPr>
        <w:rFonts w:ascii="Symbol" w:hAnsi="Symbol" w:hint="default"/>
        <w:sz w:val="20"/>
      </w:rPr>
    </w:lvl>
    <w:lvl w:ilvl="7" w:tentative="1">
      <w:start w:val="1"/>
      <w:numFmt w:val="bullet"/>
      <w:lvlText w:val=""/>
      <w:lvlJc w:val="left"/>
      <w:pPr>
        <w:tabs>
          <w:tab w:val="num" w:pos="6120"/>
        </w:tabs>
        <w:ind w:left="6480" w:hanging="360"/>
      </w:pPr>
      <w:rPr>
        <w:rFonts w:ascii="Symbol" w:hAnsi="Symbol" w:hint="default"/>
        <w:sz w:val="20"/>
      </w:rPr>
    </w:lvl>
    <w:lvl w:ilvl="8" w:tentative="1">
      <w:start w:val="1"/>
      <w:numFmt w:val="bullet"/>
      <w:lvlText w:val=""/>
      <w:lvlJc w:val="left"/>
      <w:pPr>
        <w:tabs>
          <w:tab w:val="num" w:pos="6840"/>
        </w:tabs>
        <w:ind w:left="7200" w:hanging="360"/>
      </w:pPr>
      <w:rPr>
        <w:rFonts w:ascii="Symbol" w:hAnsi="Symbol" w:hint="default"/>
        <w:sz w:val="20"/>
      </w:rPr>
    </w:lvl>
  </w:abstractNum>
  <w:abstractNum w:abstractNumId="3" w15:restartNumberingAfterBreak="0">
    <w:nsid w:val="4F3F67CD"/>
    <w:multiLevelType w:val="multilevel"/>
    <w:tmpl w:val="FAF07D64"/>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4" w15:restartNumberingAfterBreak="0">
    <w:nsid w:val="563F05BD"/>
    <w:multiLevelType w:val="multilevel"/>
    <w:tmpl w:val="CA2C7322"/>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num w:numId="1" w16cid:durableId="741021286">
    <w:abstractNumId w:val="1"/>
  </w:num>
  <w:num w:numId="2" w16cid:durableId="2084137609">
    <w:abstractNumId w:val="3"/>
  </w:num>
  <w:num w:numId="3" w16cid:durableId="158160896">
    <w:abstractNumId w:val="0"/>
  </w:num>
  <w:num w:numId="4" w16cid:durableId="666980547">
    <w:abstractNumId w:val="2"/>
  </w:num>
  <w:num w:numId="5" w16cid:durableId="695811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r7Nsnp5mfmphO1S+PE8hNEGsJ62QeXbIvsi+D+9xVij/EZ2wDZNo9Ofg+leWl+F7JyLiN2gGoP/D/FwCLmaSQ==" w:salt="Y7aj+2Tl77qxko6ytNxu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DD"/>
    <w:rsid w:val="00036288"/>
    <w:rsid w:val="0004238D"/>
    <w:rsid w:val="0004703E"/>
    <w:rsid w:val="00082F3C"/>
    <w:rsid w:val="000908D7"/>
    <w:rsid w:val="001065D9"/>
    <w:rsid w:val="0014363F"/>
    <w:rsid w:val="001465FC"/>
    <w:rsid w:val="00164F6E"/>
    <w:rsid w:val="00176E24"/>
    <w:rsid w:val="00197409"/>
    <w:rsid w:val="001A6AD1"/>
    <w:rsid w:val="00200173"/>
    <w:rsid w:val="00215171"/>
    <w:rsid w:val="00230CAE"/>
    <w:rsid w:val="00257B9F"/>
    <w:rsid w:val="00290801"/>
    <w:rsid w:val="002D4AAE"/>
    <w:rsid w:val="00301CF8"/>
    <w:rsid w:val="0034644C"/>
    <w:rsid w:val="003560F1"/>
    <w:rsid w:val="0035631F"/>
    <w:rsid w:val="00392215"/>
    <w:rsid w:val="003A7245"/>
    <w:rsid w:val="003C2B3B"/>
    <w:rsid w:val="003D3351"/>
    <w:rsid w:val="003F6CAB"/>
    <w:rsid w:val="00411391"/>
    <w:rsid w:val="00465B33"/>
    <w:rsid w:val="004861ED"/>
    <w:rsid w:val="004A78D0"/>
    <w:rsid w:val="00554882"/>
    <w:rsid w:val="005B35A3"/>
    <w:rsid w:val="00612672"/>
    <w:rsid w:val="007136C4"/>
    <w:rsid w:val="007370AD"/>
    <w:rsid w:val="00740CD5"/>
    <w:rsid w:val="007436DA"/>
    <w:rsid w:val="0076343C"/>
    <w:rsid w:val="00770DEF"/>
    <w:rsid w:val="00780AC2"/>
    <w:rsid w:val="00794E01"/>
    <w:rsid w:val="007D33C3"/>
    <w:rsid w:val="00801311"/>
    <w:rsid w:val="00804404"/>
    <w:rsid w:val="00853083"/>
    <w:rsid w:val="00871CC8"/>
    <w:rsid w:val="008B4CFB"/>
    <w:rsid w:val="008D3627"/>
    <w:rsid w:val="00940955"/>
    <w:rsid w:val="00951A90"/>
    <w:rsid w:val="009613A6"/>
    <w:rsid w:val="00987405"/>
    <w:rsid w:val="009A3AF2"/>
    <w:rsid w:val="009B068D"/>
    <w:rsid w:val="009B66ED"/>
    <w:rsid w:val="00A04C53"/>
    <w:rsid w:val="00A35428"/>
    <w:rsid w:val="00A85ED3"/>
    <w:rsid w:val="00AC4CE4"/>
    <w:rsid w:val="00AD224B"/>
    <w:rsid w:val="00B33BDC"/>
    <w:rsid w:val="00B402BA"/>
    <w:rsid w:val="00B57888"/>
    <w:rsid w:val="00B744A3"/>
    <w:rsid w:val="00BA5973"/>
    <w:rsid w:val="00BD19F2"/>
    <w:rsid w:val="00C375C3"/>
    <w:rsid w:val="00C436A1"/>
    <w:rsid w:val="00C76BDD"/>
    <w:rsid w:val="00D021DC"/>
    <w:rsid w:val="00D04284"/>
    <w:rsid w:val="00D60078"/>
    <w:rsid w:val="00DB4996"/>
    <w:rsid w:val="00DB4F0E"/>
    <w:rsid w:val="00DD173C"/>
    <w:rsid w:val="00DD726D"/>
    <w:rsid w:val="00DF6433"/>
    <w:rsid w:val="00E42069"/>
    <w:rsid w:val="00E93838"/>
    <w:rsid w:val="00EB390F"/>
    <w:rsid w:val="00ED2834"/>
    <w:rsid w:val="00ED660E"/>
    <w:rsid w:val="00EE22FE"/>
    <w:rsid w:val="00EE25BB"/>
    <w:rsid w:val="00F709FF"/>
    <w:rsid w:val="00F71E70"/>
    <w:rsid w:val="00FD45EA"/>
    <w:rsid w:val="0491D925"/>
    <w:rsid w:val="0AEC4BBD"/>
    <w:rsid w:val="13367EA2"/>
    <w:rsid w:val="27B111FF"/>
    <w:rsid w:val="2CAAAF66"/>
    <w:rsid w:val="3297F7FD"/>
    <w:rsid w:val="357A6646"/>
    <w:rsid w:val="3717B1F4"/>
    <w:rsid w:val="3FBE4936"/>
    <w:rsid w:val="4489E264"/>
    <w:rsid w:val="53F8FBD1"/>
    <w:rsid w:val="5BCBFD01"/>
    <w:rsid w:val="69BA9B6C"/>
    <w:rsid w:val="6E244DFD"/>
    <w:rsid w:val="77646346"/>
    <w:rsid w:val="7851EDB6"/>
    <w:rsid w:val="78AFD546"/>
    <w:rsid w:val="78FF34B9"/>
    <w:rsid w:val="7BA1CB97"/>
    <w:rsid w:val="7D4C9945"/>
    <w:rsid w:val="7DF076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A745"/>
  <w15:chartTrackingRefBased/>
  <w15:docId w15:val="{75B3B44A-9A47-4A5E-BE72-76D4DB24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BDD"/>
    <w:rPr>
      <w:rFonts w:eastAsiaTheme="majorEastAsia" w:cstheme="majorBidi"/>
      <w:color w:val="272727" w:themeColor="text1" w:themeTint="D8"/>
    </w:rPr>
  </w:style>
  <w:style w:type="paragraph" w:styleId="Title">
    <w:name w:val="Title"/>
    <w:basedOn w:val="Normal"/>
    <w:next w:val="Normal"/>
    <w:link w:val="TitleChar"/>
    <w:uiPriority w:val="10"/>
    <w:qFormat/>
    <w:rsid w:val="00C76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BDD"/>
    <w:pPr>
      <w:spacing w:before="160"/>
      <w:jc w:val="center"/>
    </w:pPr>
    <w:rPr>
      <w:i/>
      <w:iCs/>
      <w:color w:val="404040" w:themeColor="text1" w:themeTint="BF"/>
    </w:rPr>
  </w:style>
  <w:style w:type="character" w:customStyle="1" w:styleId="QuoteChar">
    <w:name w:val="Quote Char"/>
    <w:basedOn w:val="DefaultParagraphFont"/>
    <w:link w:val="Quote"/>
    <w:uiPriority w:val="29"/>
    <w:rsid w:val="00C76BDD"/>
    <w:rPr>
      <w:i/>
      <w:iCs/>
      <w:color w:val="404040" w:themeColor="text1" w:themeTint="BF"/>
    </w:rPr>
  </w:style>
  <w:style w:type="paragraph" w:styleId="ListParagraph">
    <w:name w:val="List Paragraph"/>
    <w:basedOn w:val="Normal"/>
    <w:uiPriority w:val="34"/>
    <w:qFormat/>
    <w:rsid w:val="00C76BDD"/>
    <w:pPr>
      <w:ind w:left="720"/>
      <w:contextualSpacing/>
    </w:pPr>
  </w:style>
  <w:style w:type="character" w:styleId="IntenseEmphasis">
    <w:name w:val="Intense Emphasis"/>
    <w:basedOn w:val="DefaultParagraphFont"/>
    <w:uiPriority w:val="21"/>
    <w:qFormat/>
    <w:rsid w:val="00C76BDD"/>
    <w:rPr>
      <w:i/>
      <w:iCs/>
      <w:color w:val="0F4761" w:themeColor="accent1" w:themeShade="BF"/>
    </w:rPr>
  </w:style>
  <w:style w:type="paragraph" w:styleId="IntenseQuote">
    <w:name w:val="Intense Quote"/>
    <w:basedOn w:val="Normal"/>
    <w:next w:val="Normal"/>
    <w:link w:val="IntenseQuoteChar"/>
    <w:uiPriority w:val="30"/>
    <w:qFormat/>
    <w:rsid w:val="00C76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BDD"/>
    <w:rPr>
      <w:i/>
      <w:iCs/>
      <w:color w:val="0F4761" w:themeColor="accent1" w:themeShade="BF"/>
    </w:rPr>
  </w:style>
  <w:style w:type="character" w:styleId="IntenseReference">
    <w:name w:val="Intense Reference"/>
    <w:basedOn w:val="DefaultParagraphFont"/>
    <w:uiPriority w:val="32"/>
    <w:qFormat/>
    <w:rsid w:val="00C76BDD"/>
    <w:rPr>
      <w:b/>
      <w:bCs/>
      <w:smallCaps/>
      <w:color w:val="0F4761" w:themeColor="accent1" w:themeShade="BF"/>
      <w:spacing w:val="5"/>
    </w:rPr>
  </w:style>
  <w:style w:type="character" w:styleId="CommentReference">
    <w:name w:val="annotation reference"/>
    <w:basedOn w:val="DefaultParagraphFont"/>
    <w:uiPriority w:val="99"/>
    <w:semiHidden/>
    <w:unhideWhenUsed/>
    <w:rsid w:val="00987405"/>
    <w:rPr>
      <w:sz w:val="16"/>
      <w:szCs w:val="16"/>
    </w:rPr>
  </w:style>
  <w:style w:type="paragraph" w:styleId="CommentText">
    <w:name w:val="annotation text"/>
    <w:basedOn w:val="Normal"/>
    <w:link w:val="CommentTextChar"/>
    <w:uiPriority w:val="99"/>
    <w:unhideWhenUsed/>
    <w:rsid w:val="00987405"/>
    <w:pPr>
      <w:spacing w:line="240" w:lineRule="auto"/>
    </w:pPr>
    <w:rPr>
      <w:sz w:val="20"/>
      <w:szCs w:val="20"/>
    </w:rPr>
  </w:style>
  <w:style w:type="character" w:customStyle="1" w:styleId="CommentTextChar">
    <w:name w:val="Comment Text Char"/>
    <w:basedOn w:val="DefaultParagraphFont"/>
    <w:link w:val="CommentText"/>
    <w:uiPriority w:val="99"/>
    <w:rsid w:val="00987405"/>
    <w:rPr>
      <w:sz w:val="20"/>
      <w:szCs w:val="20"/>
    </w:rPr>
  </w:style>
  <w:style w:type="paragraph" w:styleId="CommentSubject">
    <w:name w:val="annotation subject"/>
    <w:basedOn w:val="CommentText"/>
    <w:next w:val="CommentText"/>
    <w:link w:val="CommentSubjectChar"/>
    <w:uiPriority w:val="99"/>
    <w:semiHidden/>
    <w:unhideWhenUsed/>
    <w:rsid w:val="00987405"/>
    <w:rPr>
      <w:b/>
      <w:bCs/>
    </w:rPr>
  </w:style>
  <w:style w:type="character" w:customStyle="1" w:styleId="CommentSubjectChar">
    <w:name w:val="Comment Subject Char"/>
    <w:basedOn w:val="CommentTextChar"/>
    <w:link w:val="CommentSubject"/>
    <w:uiPriority w:val="99"/>
    <w:semiHidden/>
    <w:rsid w:val="00987405"/>
    <w:rPr>
      <w:b/>
      <w:bCs/>
      <w:sz w:val="20"/>
      <w:szCs w:val="20"/>
    </w:rPr>
  </w:style>
  <w:style w:type="character" w:styleId="Mention">
    <w:name w:val="Mention"/>
    <w:basedOn w:val="DefaultParagraphFont"/>
    <w:uiPriority w:val="99"/>
    <w:unhideWhenUsed/>
    <w:rsid w:val="00197409"/>
    <w:rPr>
      <w:color w:val="2B579A"/>
      <w:shd w:val="clear" w:color="auto" w:fill="E1DFDD"/>
    </w:rPr>
  </w:style>
  <w:style w:type="paragraph" w:styleId="Revision">
    <w:name w:val="Revision"/>
    <w:hidden/>
    <w:uiPriority w:val="99"/>
    <w:semiHidden/>
    <w:rsid w:val="00BA5973"/>
    <w:pPr>
      <w:spacing w:after="0" w:line="240" w:lineRule="auto"/>
    </w:pPr>
  </w:style>
  <w:style w:type="paragraph" w:styleId="Header">
    <w:name w:val="header"/>
    <w:basedOn w:val="Normal"/>
    <w:link w:val="HeaderChar"/>
    <w:uiPriority w:val="99"/>
    <w:unhideWhenUsed/>
    <w:rsid w:val="00356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31F"/>
  </w:style>
  <w:style w:type="paragraph" w:styleId="Footer">
    <w:name w:val="footer"/>
    <w:basedOn w:val="Normal"/>
    <w:link w:val="FooterChar"/>
    <w:uiPriority w:val="99"/>
    <w:unhideWhenUsed/>
    <w:rsid w:val="00356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08133">
      <w:bodyDiv w:val="1"/>
      <w:marLeft w:val="0"/>
      <w:marRight w:val="0"/>
      <w:marTop w:val="0"/>
      <w:marBottom w:val="0"/>
      <w:divBdr>
        <w:top w:val="none" w:sz="0" w:space="0" w:color="auto"/>
        <w:left w:val="none" w:sz="0" w:space="0" w:color="auto"/>
        <w:bottom w:val="none" w:sz="0" w:space="0" w:color="auto"/>
        <w:right w:val="none" w:sz="0" w:space="0" w:color="auto"/>
      </w:divBdr>
    </w:div>
    <w:div w:id="1689065708">
      <w:bodyDiv w:val="1"/>
      <w:marLeft w:val="0"/>
      <w:marRight w:val="0"/>
      <w:marTop w:val="0"/>
      <w:marBottom w:val="0"/>
      <w:divBdr>
        <w:top w:val="none" w:sz="0" w:space="0" w:color="auto"/>
        <w:left w:val="none" w:sz="0" w:space="0" w:color="auto"/>
        <w:bottom w:val="none" w:sz="0" w:space="0" w:color="auto"/>
        <w:right w:val="none" w:sz="0" w:space="0" w:color="auto"/>
      </w:divBdr>
      <w:divsChild>
        <w:div w:id="46609166">
          <w:marLeft w:val="0"/>
          <w:marRight w:val="0"/>
          <w:marTop w:val="0"/>
          <w:marBottom w:val="0"/>
          <w:divBdr>
            <w:top w:val="none" w:sz="0" w:space="0" w:color="auto"/>
            <w:left w:val="none" w:sz="0" w:space="0" w:color="auto"/>
            <w:bottom w:val="none" w:sz="0" w:space="0" w:color="auto"/>
            <w:right w:val="none" w:sz="0" w:space="0" w:color="auto"/>
          </w:divBdr>
        </w:div>
        <w:div w:id="109710341">
          <w:marLeft w:val="0"/>
          <w:marRight w:val="0"/>
          <w:marTop w:val="0"/>
          <w:marBottom w:val="0"/>
          <w:divBdr>
            <w:top w:val="none" w:sz="0" w:space="0" w:color="auto"/>
            <w:left w:val="none" w:sz="0" w:space="0" w:color="auto"/>
            <w:bottom w:val="none" w:sz="0" w:space="0" w:color="auto"/>
            <w:right w:val="none" w:sz="0" w:space="0" w:color="auto"/>
          </w:divBdr>
          <w:divsChild>
            <w:div w:id="103695405">
              <w:marLeft w:val="-75"/>
              <w:marRight w:val="0"/>
              <w:marTop w:val="30"/>
              <w:marBottom w:val="30"/>
              <w:divBdr>
                <w:top w:val="none" w:sz="0" w:space="0" w:color="auto"/>
                <w:left w:val="none" w:sz="0" w:space="0" w:color="auto"/>
                <w:bottom w:val="none" w:sz="0" w:space="0" w:color="auto"/>
                <w:right w:val="none" w:sz="0" w:space="0" w:color="auto"/>
              </w:divBdr>
              <w:divsChild>
                <w:div w:id="27220426">
                  <w:marLeft w:val="0"/>
                  <w:marRight w:val="0"/>
                  <w:marTop w:val="0"/>
                  <w:marBottom w:val="0"/>
                  <w:divBdr>
                    <w:top w:val="none" w:sz="0" w:space="0" w:color="auto"/>
                    <w:left w:val="none" w:sz="0" w:space="0" w:color="auto"/>
                    <w:bottom w:val="none" w:sz="0" w:space="0" w:color="auto"/>
                    <w:right w:val="none" w:sz="0" w:space="0" w:color="auto"/>
                  </w:divBdr>
                  <w:divsChild>
                    <w:div w:id="394083449">
                      <w:marLeft w:val="0"/>
                      <w:marRight w:val="0"/>
                      <w:marTop w:val="0"/>
                      <w:marBottom w:val="0"/>
                      <w:divBdr>
                        <w:top w:val="none" w:sz="0" w:space="0" w:color="auto"/>
                        <w:left w:val="none" w:sz="0" w:space="0" w:color="auto"/>
                        <w:bottom w:val="none" w:sz="0" w:space="0" w:color="auto"/>
                        <w:right w:val="none" w:sz="0" w:space="0" w:color="auto"/>
                      </w:divBdr>
                    </w:div>
                  </w:divsChild>
                </w:div>
                <w:div w:id="96338145">
                  <w:marLeft w:val="0"/>
                  <w:marRight w:val="0"/>
                  <w:marTop w:val="0"/>
                  <w:marBottom w:val="0"/>
                  <w:divBdr>
                    <w:top w:val="none" w:sz="0" w:space="0" w:color="auto"/>
                    <w:left w:val="none" w:sz="0" w:space="0" w:color="auto"/>
                    <w:bottom w:val="none" w:sz="0" w:space="0" w:color="auto"/>
                    <w:right w:val="none" w:sz="0" w:space="0" w:color="auto"/>
                  </w:divBdr>
                  <w:divsChild>
                    <w:div w:id="1694963667">
                      <w:marLeft w:val="0"/>
                      <w:marRight w:val="0"/>
                      <w:marTop w:val="0"/>
                      <w:marBottom w:val="0"/>
                      <w:divBdr>
                        <w:top w:val="none" w:sz="0" w:space="0" w:color="auto"/>
                        <w:left w:val="none" w:sz="0" w:space="0" w:color="auto"/>
                        <w:bottom w:val="none" w:sz="0" w:space="0" w:color="auto"/>
                        <w:right w:val="none" w:sz="0" w:space="0" w:color="auto"/>
                      </w:divBdr>
                    </w:div>
                  </w:divsChild>
                </w:div>
                <w:div w:id="98377370">
                  <w:marLeft w:val="0"/>
                  <w:marRight w:val="0"/>
                  <w:marTop w:val="0"/>
                  <w:marBottom w:val="0"/>
                  <w:divBdr>
                    <w:top w:val="none" w:sz="0" w:space="0" w:color="auto"/>
                    <w:left w:val="none" w:sz="0" w:space="0" w:color="auto"/>
                    <w:bottom w:val="none" w:sz="0" w:space="0" w:color="auto"/>
                    <w:right w:val="none" w:sz="0" w:space="0" w:color="auto"/>
                  </w:divBdr>
                  <w:divsChild>
                    <w:div w:id="795759518">
                      <w:marLeft w:val="0"/>
                      <w:marRight w:val="0"/>
                      <w:marTop w:val="0"/>
                      <w:marBottom w:val="0"/>
                      <w:divBdr>
                        <w:top w:val="none" w:sz="0" w:space="0" w:color="auto"/>
                        <w:left w:val="none" w:sz="0" w:space="0" w:color="auto"/>
                        <w:bottom w:val="none" w:sz="0" w:space="0" w:color="auto"/>
                        <w:right w:val="none" w:sz="0" w:space="0" w:color="auto"/>
                      </w:divBdr>
                    </w:div>
                  </w:divsChild>
                </w:div>
                <w:div w:id="134108283">
                  <w:marLeft w:val="0"/>
                  <w:marRight w:val="0"/>
                  <w:marTop w:val="0"/>
                  <w:marBottom w:val="0"/>
                  <w:divBdr>
                    <w:top w:val="none" w:sz="0" w:space="0" w:color="auto"/>
                    <w:left w:val="none" w:sz="0" w:space="0" w:color="auto"/>
                    <w:bottom w:val="none" w:sz="0" w:space="0" w:color="auto"/>
                    <w:right w:val="none" w:sz="0" w:space="0" w:color="auto"/>
                  </w:divBdr>
                  <w:divsChild>
                    <w:div w:id="857356429">
                      <w:marLeft w:val="0"/>
                      <w:marRight w:val="0"/>
                      <w:marTop w:val="0"/>
                      <w:marBottom w:val="0"/>
                      <w:divBdr>
                        <w:top w:val="none" w:sz="0" w:space="0" w:color="auto"/>
                        <w:left w:val="none" w:sz="0" w:space="0" w:color="auto"/>
                        <w:bottom w:val="none" w:sz="0" w:space="0" w:color="auto"/>
                        <w:right w:val="none" w:sz="0" w:space="0" w:color="auto"/>
                      </w:divBdr>
                    </w:div>
                  </w:divsChild>
                </w:div>
                <w:div w:id="153765584">
                  <w:marLeft w:val="0"/>
                  <w:marRight w:val="0"/>
                  <w:marTop w:val="0"/>
                  <w:marBottom w:val="0"/>
                  <w:divBdr>
                    <w:top w:val="none" w:sz="0" w:space="0" w:color="auto"/>
                    <w:left w:val="none" w:sz="0" w:space="0" w:color="auto"/>
                    <w:bottom w:val="none" w:sz="0" w:space="0" w:color="auto"/>
                    <w:right w:val="none" w:sz="0" w:space="0" w:color="auto"/>
                  </w:divBdr>
                  <w:divsChild>
                    <w:div w:id="1177958554">
                      <w:marLeft w:val="0"/>
                      <w:marRight w:val="0"/>
                      <w:marTop w:val="0"/>
                      <w:marBottom w:val="0"/>
                      <w:divBdr>
                        <w:top w:val="none" w:sz="0" w:space="0" w:color="auto"/>
                        <w:left w:val="none" w:sz="0" w:space="0" w:color="auto"/>
                        <w:bottom w:val="none" w:sz="0" w:space="0" w:color="auto"/>
                        <w:right w:val="none" w:sz="0" w:space="0" w:color="auto"/>
                      </w:divBdr>
                    </w:div>
                    <w:div w:id="1772772310">
                      <w:marLeft w:val="0"/>
                      <w:marRight w:val="0"/>
                      <w:marTop w:val="0"/>
                      <w:marBottom w:val="0"/>
                      <w:divBdr>
                        <w:top w:val="none" w:sz="0" w:space="0" w:color="auto"/>
                        <w:left w:val="none" w:sz="0" w:space="0" w:color="auto"/>
                        <w:bottom w:val="none" w:sz="0" w:space="0" w:color="auto"/>
                        <w:right w:val="none" w:sz="0" w:space="0" w:color="auto"/>
                      </w:divBdr>
                    </w:div>
                  </w:divsChild>
                </w:div>
                <w:div w:id="229391188">
                  <w:marLeft w:val="0"/>
                  <w:marRight w:val="0"/>
                  <w:marTop w:val="0"/>
                  <w:marBottom w:val="0"/>
                  <w:divBdr>
                    <w:top w:val="none" w:sz="0" w:space="0" w:color="auto"/>
                    <w:left w:val="none" w:sz="0" w:space="0" w:color="auto"/>
                    <w:bottom w:val="none" w:sz="0" w:space="0" w:color="auto"/>
                    <w:right w:val="none" w:sz="0" w:space="0" w:color="auto"/>
                  </w:divBdr>
                  <w:divsChild>
                    <w:div w:id="236598946">
                      <w:marLeft w:val="0"/>
                      <w:marRight w:val="0"/>
                      <w:marTop w:val="0"/>
                      <w:marBottom w:val="0"/>
                      <w:divBdr>
                        <w:top w:val="none" w:sz="0" w:space="0" w:color="auto"/>
                        <w:left w:val="none" w:sz="0" w:space="0" w:color="auto"/>
                        <w:bottom w:val="none" w:sz="0" w:space="0" w:color="auto"/>
                        <w:right w:val="none" w:sz="0" w:space="0" w:color="auto"/>
                      </w:divBdr>
                    </w:div>
                    <w:div w:id="849222768">
                      <w:marLeft w:val="0"/>
                      <w:marRight w:val="0"/>
                      <w:marTop w:val="0"/>
                      <w:marBottom w:val="0"/>
                      <w:divBdr>
                        <w:top w:val="none" w:sz="0" w:space="0" w:color="auto"/>
                        <w:left w:val="none" w:sz="0" w:space="0" w:color="auto"/>
                        <w:bottom w:val="none" w:sz="0" w:space="0" w:color="auto"/>
                        <w:right w:val="none" w:sz="0" w:space="0" w:color="auto"/>
                      </w:divBdr>
                    </w:div>
                  </w:divsChild>
                </w:div>
                <w:div w:id="298807140">
                  <w:marLeft w:val="0"/>
                  <w:marRight w:val="0"/>
                  <w:marTop w:val="0"/>
                  <w:marBottom w:val="0"/>
                  <w:divBdr>
                    <w:top w:val="none" w:sz="0" w:space="0" w:color="auto"/>
                    <w:left w:val="none" w:sz="0" w:space="0" w:color="auto"/>
                    <w:bottom w:val="none" w:sz="0" w:space="0" w:color="auto"/>
                    <w:right w:val="none" w:sz="0" w:space="0" w:color="auto"/>
                  </w:divBdr>
                  <w:divsChild>
                    <w:div w:id="1766220987">
                      <w:marLeft w:val="0"/>
                      <w:marRight w:val="0"/>
                      <w:marTop w:val="0"/>
                      <w:marBottom w:val="0"/>
                      <w:divBdr>
                        <w:top w:val="none" w:sz="0" w:space="0" w:color="auto"/>
                        <w:left w:val="none" w:sz="0" w:space="0" w:color="auto"/>
                        <w:bottom w:val="none" w:sz="0" w:space="0" w:color="auto"/>
                        <w:right w:val="none" w:sz="0" w:space="0" w:color="auto"/>
                      </w:divBdr>
                    </w:div>
                  </w:divsChild>
                </w:div>
                <w:div w:id="568926787">
                  <w:marLeft w:val="0"/>
                  <w:marRight w:val="0"/>
                  <w:marTop w:val="0"/>
                  <w:marBottom w:val="0"/>
                  <w:divBdr>
                    <w:top w:val="none" w:sz="0" w:space="0" w:color="auto"/>
                    <w:left w:val="none" w:sz="0" w:space="0" w:color="auto"/>
                    <w:bottom w:val="none" w:sz="0" w:space="0" w:color="auto"/>
                    <w:right w:val="none" w:sz="0" w:space="0" w:color="auto"/>
                  </w:divBdr>
                  <w:divsChild>
                    <w:div w:id="1353340438">
                      <w:marLeft w:val="0"/>
                      <w:marRight w:val="0"/>
                      <w:marTop w:val="0"/>
                      <w:marBottom w:val="0"/>
                      <w:divBdr>
                        <w:top w:val="none" w:sz="0" w:space="0" w:color="auto"/>
                        <w:left w:val="none" w:sz="0" w:space="0" w:color="auto"/>
                        <w:bottom w:val="none" w:sz="0" w:space="0" w:color="auto"/>
                        <w:right w:val="none" w:sz="0" w:space="0" w:color="auto"/>
                      </w:divBdr>
                    </w:div>
                  </w:divsChild>
                </w:div>
                <w:div w:id="714433304">
                  <w:marLeft w:val="0"/>
                  <w:marRight w:val="0"/>
                  <w:marTop w:val="0"/>
                  <w:marBottom w:val="0"/>
                  <w:divBdr>
                    <w:top w:val="none" w:sz="0" w:space="0" w:color="auto"/>
                    <w:left w:val="none" w:sz="0" w:space="0" w:color="auto"/>
                    <w:bottom w:val="none" w:sz="0" w:space="0" w:color="auto"/>
                    <w:right w:val="none" w:sz="0" w:space="0" w:color="auto"/>
                  </w:divBdr>
                  <w:divsChild>
                    <w:div w:id="388039217">
                      <w:marLeft w:val="0"/>
                      <w:marRight w:val="0"/>
                      <w:marTop w:val="0"/>
                      <w:marBottom w:val="0"/>
                      <w:divBdr>
                        <w:top w:val="none" w:sz="0" w:space="0" w:color="auto"/>
                        <w:left w:val="none" w:sz="0" w:space="0" w:color="auto"/>
                        <w:bottom w:val="none" w:sz="0" w:space="0" w:color="auto"/>
                        <w:right w:val="none" w:sz="0" w:space="0" w:color="auto"/>
                      </w:divBdr>
                    </w:div>
                  </w:divsChild>
                </w:div>
                <w:div w:id="975066743">
                  <w:marLeft w:val="0"/>
                  <w:marRight w:val="0"/>
                  <w:marTop w:val="0"/>
                  <w:marBottom w:val="0"/>
                  <w:divBdr>
                    <w:top w:val="none" w:sz="0" w:space="0" w:color="auto"/>
                    <w:left w:val="none" w:sz="0" w:space="0" w:color="auto"/>
                    <w:bottom w:val="none" w:sz="0" w:space="0" w:color="auto"/>
                    <w:right w:val="none" w:sz="0" w:space="0" w:color="auto"/>
                  </w:divBdr>
                  <w:divsChild>
                    <w:div w:id="482084796">
                      <w:marLeft w:val="0"/>
                      <w:marRight w:val="0"/>
                      <w:marTop w:val="0"/>
                      <w:marBottom w:val="0"/>
                      <w:divBdr>
                        <w:top w:val="none" w:sz="0" w:space="0" w:color="auto"/>
                        <w:left w:val="none" w:sz="0" w:space="0" w:color="auto"/>
                        <w:bottom w:val="none" w:sz="0" w:space="0" w:color="auto"/>
                        <w:right w:val="none" w:sz="0" w:space="0" w:color="auto"/>
                      </w:divBdr>
                    </w:div>
                  </w:divsChild>
                </w:div>
                <w:div w:id="1066025984">
                  <w:marLeft w:val="0"/>
                  <w:marRight w:val="0"/>
                  <w:marTop w:val="0"/>
                  <w:marBottom w:val="0"/>
                  <w:divBdr>
                    <w:top w:val="none" w:sz="0" w:space="0" w:color="auto"/>
                    <w:left w:val="none" w:sz="0" w:space="0" w:color="auto"/>
                    <w:bottom w:val="none" w:sz="0" w:space="0" w:color="auto"/>
                    <w:right w:val="none" w:sz="0" w:space="0" w:color="auto"/>
                  </w:divBdr>
                  <w:divsChild>
                    <w:div w:id="1416130790">
                      <w:marLeft w:val="0"/>
                      <w:marRight w:val="0"/>
                      <w:marTop w:val="0"/>
                      <w:marBottom w:val="0"/>
                      <w:divBdr>
                        <w:top w:val="none" w:sz="0" w:space="0" w:color="auto"/>
                        <w:left w:val="none" w:sz="0" w:space="0" w:color="auto"/>
                        <w:bottom w:val="none" w:sz="0" w:space="0" w:color="auto"/>
                        <w:right w:val="none" w:sz="0" w:space="0" w:color="auto"/>
                      </w:divBdr>
                    </w:div>
                  </w:divsChild>
                </w:div>
                <w:div w:id="1094592882">
                  <w:marLeft w:val="0"/>
                  <w:marRight w:val="0"/>
                  <w:marTop w:val="0"/>
                  <w:marBottom w:val="0"/>
                  <w:divBdr>
                    <w:top w:val="none" w:sz="0" w:space="0" w:color="auto"/>
                    <w:left w:val="none" w:sz="0" w:space="0" w:color="auto"/>
                    <w:bottom w:val="none" w:sz="0" w:space="0" w:color="auto"/>
                    <w:right w:val="none" w:sz="0" w:space="0" w:color="auto"/>
                  </w:divBdr>
                  <w:divsChild>
                    <w:div w:id="2044398835">
                      <w:marLeft w:val="0"/>
                      <w:marRight w:val="0"/>
                      <w:marTop w:val="0"/>
                      <w:marBottom w:val="0"/>
                      <w:divBdr>
                        <w:top w:val="none" w:sz="0" w:space="0" w:color="auto"/>
                        <w:left w:val="none" w:sz="0" w:space="0" w:color="auto"/>
                        <w:bottom w:val="none" w:sz="0" w:space="0" w:color="auto"/>
                        <w:right w:val="none" w:sz="0" w:space="0" w:color="auto"/>
                      </w:divBdr>
                    </w:div>
                  </w:divsChild>
                </w:div>
                <w:div w:id="1182860753">
                  <w:marLeft w:val="0"/>
                  <w:marRight w:val="0"/>
                  <w:marTop w:val="0"/>
                  <w:marBottom w:val="0"/>
                  <w:divBdr>
                    <w:top w:val="none" w:sz="0" w:space="0" w:color="auto"/>
                    <w:left w:val="none" w:sz="0" w:space="0" w:color="auto"/>
                    <w:bottom w:val="none" w:sz="0" w:space="0" w:color="auto"/>
                    <w:right w:val="none" w:sz="0" w:space="0" w:color="auto"/>
                  </w:divBdr>
                  <w:divsChild>
                    <w:div w:id="1051613422">
                      <w:marLeft w:val="0"/>
                      <w:marRight w:val="0"/>
                      <w:marTop w:val="0"/>
                      <w:marBottom w:val="0"/>
                      <w:divBdr>
                        <w:top w:val="none" w:sz="0" w:space="0" w:color="auto"/>
                        <w:left w:val="none" w:sz="0" w:space="0" w:color="auto"/>
                        <w:bottom w:val="none" w:sz="0" w:space="0" w:color="auto"/>
                        <w:right w:val="none" w:sz="0" w:space="0" w:color="auto"/>
                      </w:divBdr>
                    </w:div>
                  </w:divsChild>
                </w:div>
                <w:div w:id="1310330093">
                  <w:marLeft w:val="0"/>
                  <w:marRight w:val="0"/>
                  <w:marTop w:val="0"/>
                  <w:marBottom w:val="0"/>
                  <w:divBdr>
                    <w:top w:val="none" w:sz="0" w:space="0" w:color="auto"/>
                    <w:left w:val="none" w:sz="0" w:space="0" w:color="auto"/>
                    <w:bottom w:val="none" w:sz="0" w:space="0" w:color="auto"/>
                    <w:right w:val="none" w:sz="0" w:space="0" w:color="auto"/>
                  </w:divBdr>
                  <w:divsChild>
                    <w:div w:id="1862010625">
                      <w:marLeft w:val="0"/>
                      <w:marRight w:val="0"/>
                      <w:marTop w:val="0"/>
                      <w:marBottom w:val="0"/>
                      <w:divBdr>
                        <w:top w:val="none" w:sz="0" w:space="0" w:color="auto"/>
                        <w:left w:val="none" w:sz="0" w:space="0" w:color="auto"/>
                        <w:bottom w:val="none" w:sz="0" w:space="0" w:color="auto"/>
                        <w:right w:val="none" w:sz="0" w:space="0" w:color="auto"/>
                      </w:divBdr>
                    </w:div>
                  </w:divsChild>
                </w:div>
                <w:div w:id="1330602651">
                  <w:marLeft w:val="0"/>
                  <w:marRight w:val="0"/>
                  <w:marTop w:val="0"/>
                  <w:marBottom w:val="0"/>
                  <w:divBdr>
                    <w:top w:val="none" w:sz="0" w:space="0" w:color="auto"/>
                    <w:left w:val="none" w:sz="0" w:space="0" w:color="auto"/>
                    <w:bottom w:val="none" w:sz="0" w:space="0" w:color="auto"/>
                    <w:right w:val="none" w:sz="0" w:space="0" w:color="auto"/>
                  </w:divBdr>
                  <w:divsChild>
                    <w:div w:id="1196427123">
                      <w:marLeft w:val="0"/>
                      <w:marRight w:val="0"/>
                      <w:marTop w:val="0"/>
                      <w:marBottom w:val="0"/>
                      <w:divBdr>
                        <w:top w:val="none" w:sz="0" w:space="0" w:color="auto"/>
                        <w:left w:val="none" w:sz="0" w:space="0" w:color="auto"/>
                        <w:bottom w:val="none" w:sz="0" w:space="0" w:color="auto"/>
                        <w:right w:val="none" w:sz="0" w:space="0" w:color="auto"/>
                      </w:divBdr>
                    </w:div>
                  </w:divsChild>
                </w:div>
                <w:div w:id="1510291639">
                  <w:marLeft w:val="0"/>
                  <w:marRight w:val="0"/>
                  <w:marTop w:val="0"/>
                  <w:marBottom w:val="0"/>
                  <w:divBdr>
                    <w:top w:val="none" w:sz="0" w:space="0" w:color="auto"/>
                    <w:left w:val="none" w:sz="0" w:space="0" w:color="auto"/>
                    <w:bottom w:val="none" w:sz="0" w:space="0" w:color="auto"/>
                    <w:right w:val="none" w:sz="0" w:space="0" w:color="auto"/>
                  </w:divBdr>
                  <w:divsChild>
                    <w:div w:id="1546066237">
                      <w:marLeft w:val="0"/>
                      <w:marRight w:val="0"/>
                      <w:marTop w:val="0"/>
                      <w:marBottom w:val="0"/>
                      <w:divBdr>
                        <w:top w:val="none" w:sz="0" w:space="0" w:color="auto"/>
                        <w:left w:val="none" w:sz="0" w:space="0" w:color="auto"/>
                        <w:bottom w:val="none" w:sz="0" w:space="0" w:color="auto"/>
                        <w:right w:val="none" w:sz="0" w:space="0" w:color="auto"/>
                      </w:divBdr>
                    </w:div>
                  </w:divsChild>
                </w:div>
                <w:div w:id="1514030404">
                  <w:marLeft w:val="0"/>
                  <w:marRight w:val="0"/>
                  <w:marTop w:val="0"/>
                  <w:marBottom w:val="0"/>
                  <w:divBdr>
                    <w:top w:val="none" w:sz="0" w:space="0" w:color="auto"/>
                    <w:left w:val="none" w:sz="0" w:space="0" w:color="auto"/>
                    <w:bottom w:val="none" w:sz="0" w:space="0" w:color="auto"/>
                    <w:right w:val="none" w:sz="0" w:space="0" w:color="auto"/>
                  </w:divBdr>
                  <w:divsChild>
                    <w:div w:id="1479760661">
                      <w:marLeft w:val="0"/>
                      <w:marRight w:val="0"/>
                      <w:marTop w:val="0"/>
                      <w:marBottom w:val="0"/>
                      <w:divBdr>
                        <w:top w:val="none" w:sz="0" w:space="0" w:color="auto"/>
                        <w:left w:val="none" w:sz="0" w:space="0" w:color="auto"/>
                        <w:bottom w:val="none" w:sz="0" w:space="0" w:color="auto"/>
                        <w:right w:val="none" w:sz="0" w:space="0" w:color="auto"/>
                      </w:divBdr>
                    </w:div>
                  </w:divsChild>
                </w:div>
                <w:div w:id="1536843148">
                  <w:marLeft w:val="0"/>
                  <w:marRight w:val="0"/>
                  <w:marTop w:val="0"/>
                  <w:marBottom w:val="0"/>
                  <w:divBdr>
                    <w:top w:val="none" w:sz="0" w:space="0" w:color="auto"/>
                    <w:left w:val="none" w:sz="0" w:space="0" w:color="auto"/>
                    <w:bottom w:val="none" w:sz="0" w:space="0" w:color="auto"/>
                    <w:right w:val="none" w:sz="0" w:space="0" w:color="auto"/>
                  </w:divBdr>
                  <w:divsChild>
                    <w:div w:id="2079016073">
                      <w:marLeft w:val="0"/>
                      <w:marRight w:val="0"/>
                      <w:marTop w:val="0"/>
                      <w:marBottom w:val="0"/>
                      <w:divBdr>
                        <w:top w:val="none" w:sz="0" w:space="0" w:color="auto"/>
                        <w:left w:val="none" w:sz="0" w:space="0" w:color="auto"/>
                        <w:bottom w:val="none" w:sz="0" w:space="0" w:color="auto"/>
                        <w:right w:val="none" w:sz="0" w:space="0" w:color="auto"/>
                      </w:divBdr>
                    </w:div>
                  </w:divsChild>
                </w:div>
                <w:div w:id="1548254656">
                  <w:marLeft w:val="0"/>
                  <w:marRight w:val="0"/>
                  <w:marTop w:val="0"/>
                  <w:marBottom w:val="0"/>
                  <w:divBdr>
                    <w:top w:val="none" w:sz="0" w:space="0" w:color="auto"/>
                    <w:left w:val="none" w:sz="0" w:space="0" w:color="auto"/>
                    <w:bottom w:val="none" w:sz="0" w:space="0" w:color="auto"/>
                    <w:right w:val="none" w:sz="0" w:space="0" w:color="auto"/>
                  </w:divBdr>
                  <w:divsChild>
                    <w:div w:id="132672735">
                      <w:marLeft w:val="0"/>
                      <w:marRight w:val="0"/>
                      <w:marTop w:val="0"/>
                      <w:marBottom w:val="0"/>
                      <w:divBdr>
                        <w:top w:val="none" w:sz="0" w:space="0" w:color="auto"/>
                        <w:left w:val="none" w:sz="0" w:space="0" w:color="auto"/>
                        <w:bottom w:val="none" w:sz="0" w:space="0" w:color="auto"/>
                        <w:right w:val="none" w:sz="0" w:space="0" w:color="auto"/>
                      </w:divBdr>
                    </w:div>
                  </w:divsChild>
                </w:div>
                <w:div w:id="1798717339">
                  <w:marLeft w:val="0"/>
                  <w:marRight w:val="0"/>
                  <w:marTop w:val="0"/>
                  <w:marBottom w:val="0"/>
                  <w:divBdr>
                    <w:top w:val="none" w:sz="0" w:space="0" w:color="auto"/>
                    <w:left w:val="none" w:sz="0" w:space="0" w:color="auto"/>
                    <w:bottom w:val="none" w:sz="0" w:space="0" w:color="auto"/>
                    <w:right w:val="none" w:sz="0" w:space="0" w:color="auto"/>
                  </w:divBdr>
                  <w:divsChild>
                    <w:div w:id="1008485764">
                      <w:marLeft w:val="0"/>
                      <w:marRight w:val="0"/>
                      <w:marTop w:val="0"/>
                      <w:marBottom w:val="0"/>
                      <w:divBdr>
                        <w:top w:val="none" w:sz="0" w:space="0" w:color="auto"/>
                        <w:left w:val="none" w:sz="0" w:space="0" w:color="auto"/>
                        <w:bottom w:val="none" w:sz="0" w:space="0" w:color="auto"/>
                        <w:right w:val="none" w:sz="0" w:space="0" w:color="auto"/>
                      </w:divBdr>
                    </w:div>
                  </w:divsChild>
                </w:div>
                <w:div w:id="1816531892">
                  <w:marLeft w:val="0"/>
                  <w:marRight w:val="0"/>
                  <w:marTop w:val="0"/>
                  <w:marBottom w:val="0"/>
                  <w:divBdr>
                    <w:top w:val="none" w:sz="0" w:space="0" w:color="auto"/>
                    <w:left w:val="none" w:sz="0" w:space="0" w:color="auto"/>
                    <w:bottom w:val="none" w:sz="0" w:space="0" w:color="auto"/>
                    <w:right w:val="none" w:sz="0" w:space="0" w:color="auto"/>
                  </w:divBdr>
                  <w:divsChild>
                    <w:div w:id="545990304">
                      <w:marLeft w:val="0"/>
                      <w:marRight w:val="0"/>
                      <w:marTop w:val="0"/>
                      <w:marBottom w:val="0"/>
                      <w:divBdr>
                        <w:top w:val="none" w:sz="0" w:space="0" w:color="auto"/>
                        <w:left w:val="none" w:sz="0" w:space="0" w:color="auto"/>
                        <w:bottom w:val="none" w:sz="0" w:space="0" w:color="auto"/>
                        <w:right w:val="none" w:sz="0" w:space="0" w:color="auto"/>
                      </w:divBdr>
                    </w:div>
                  </w:divsChild>
                </w:div>
                <w:div w:id="1984460559">
                  <w:marLeft w:val="0"/>
                  <w:marRight w:val="0"/>
                  <w:marTop w:val="0"/>
                  <w:marBottom w:val="0"/>
                  <w:divBdr>
                    <w:top w:val="none" w:sz="0" w:space="0" w:color="auto"/>
                    <w:left w:val="none" w:sz="0" w:space="0" w:color="auto"/>
                    <w:bottom w:val="none" w:sz="0" w:space="0" w:color="auto"/>
                    <w:right w:val="none" w:sz="0" w:space="0" w:color="auto"/>
                  </w:divBdr>
                  <w:divsChild>
                    <w:div w:id="988096468">
                      <w:marLeft w:val="0"/>
                      <w:marRight w:val="0"/>
                      <w:marTop w:val="0"/>
                      <w:marBottom w:val="0"/>
                      <w:divBdr>
                        <w:top w:val="none" w:sz="0" w:space="0" w:color="auto"/>
                        <w:left w:val="none" w:sz="0" w:space="0" w:color="auto"/>
                        <w:bottom w:val="none" w:sz="0" w:space="0" w:color="auto"/>
                        <w:right w:val="none" w:sz="0" w:space="0" w:color="auto"/>
                      </w:divBdr>
                    </w:div>
                  </w:divsChild>
                </w:div>
                <w:div w:id="2030327291">
                  <w:marLeft w:val="0"/>
                  <w:marRight w:val="0"/>
                  <w:marTop w:val="0"/>
                  <w:marBottom w:val="0"/>
                  <w:divBdr>
                    <w:top w:val="none" w:sz="0" w:space="0" w:color="auto"/>
                    <w:left w:val="none" w:sz="0" w:space="0" w:color="auto"/>
                    <w:bottom w:val="none" w:sz="0" w:space="0" w:color="auto"/>
                    <w:right w:val="none" w:sz="0" w:space="0" w:color="auto"/>
                  </w:divBdr>
                  <w:divsChild>
                    <w:div w:id="1129741787">
                      <w:marLeft w:val="0"/>
                      <w:marRight w:val="0"/>
                      <w:marTop w:val="0"/>
                      <w:marBottom w:val="0"/>
                      <w:divBdr>
                        <w:top w:val="none" w:sz="0" w:space="0" w:color="auto"/>
                        <w:left w:val="none" w:sz="0" w:space="0" w:color="auto"/>
                        <w:bottom w:val="none" w:sz="0" w:space="0" w:color="auto"/>
                        <w:right w:val="none" w:sz="0" w:space="0" w:color="auto"/>
                      </w:divBdr>
                    </w:div>
                  </w:divsChild>
                </w:div>
                <w:div w:id="2055154584">
                  <w:marLeft w:val="0"/>
                  <w:marRight w:val="0"/>
                  <w:marTop w:val="0"/>
                  <w:marBottom w:val="0"/>
                  <w:divBdr>
                    <w:top w:val="none" w:sz="0" w:space="0" w:color="auto"/>
                    <w:left w:val="none" w:sz="0" w:space="0" w:color="auto"/>
                    <w:bottom w:val="none" w:sz="0" w:space="0" w:color="auto"/>
                    <w:right w:val="none" w:sz="0" w:space="0" w:color="auto"/>
                  </w:divBdr>
                  <w:divsChild>
                    <w:div w:id="851266698">
                      <w:marLeft w:val="0"/>
                      <w:marRight w:val="0"/>
                      <w:marTop w:val="0"/>
                      <w:marBottom w:val="0"/>
                      <w:divBdr>
                        <w:top w:val="none" w:sz="0" w:space="0" w:color="auto"/>
                        <w:left w:val="none" w:sz="0" w:space="0" w:color="auto"/>
                        <w:bottom w:val="none" w:sz="0" w:space="0" w:color="auto"/>
                        <w:right w:val="none" w:sz="0" w:space="0" w:color="auto"/>
                      </w:divBdr>
                    </w:div>
                    <w:div w:id="18578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9272">
          <w:marLeft w:val="0"/>
          <w:marRight w:val="0"/>
          <w:marTop w:val="0"/>
          <w:marBottom w:val="0"/>
          <w:divBdr>
            <w:top w:val="none" w:sz="0" w:space="0" w:color="auto"/>
            <w:left w:val="none" w:sz="0" w:space="0" w:color="auto"/>
            <w:bottom w:val="none" w:sz="0" w:space="0" w:color="auto"/>
            <w:right w:val="none" w:sz="0" w:space="0" w:color="auto"/>
          </w:divBdr>
        </w:div>
        <w:div w:id="268007751">
          <w:marLeft w:val="0"/>
          <w:marRight w:val="0"/>
          <w:marTop w:val="0"/>
          <w:marBottom w:val="0"/>
          <w:divBdr>
            <w:top w:val="none" w:sz="0" w:space="0" w:color="auto"/>
            <w:left w:val="none" w:sz="0" w:space="0" w:color="auto"/>
            <w:bottom w:val="none" w:sz="0" w:space="0" w:color="auto"/>
            <w:right w:val="none" w:sz="0" w:space="0" w:color="auto"/>
          </w:divBdr>
        </w:div>
        <w:div w:id="295525930">
          <w:marLeft w:val="0"/>
          <w:marRight w:val="0"/>
          <w:marTop w:val="0"/>
          <w:marBottom w:val="0"/>
          <w:divBdr>
            <w:top w:val="none" w:sz="0" w:space="0" w:color="auto"/>
            <w:left w:val="none" w:sz="0" w:space="0" w:color="auto"/>
            <w:bottom w:val="none" w:sz="0" w:space="0" w:color="auto"/>
            <w:right w:val="none" w:sz="0" w:space="0" w:color="auto"/>
          </w:divBdr>
        </w:div>
        <w:div w:id="348409147">
          <w:marLeft w:val="0"/>
          <w:marRight w:val="0"/>
          <w:marTop w:val="0"/>
          <w:marBottom w:val="0"/>
          <w:divBdr>
            <w:top w:val="none" w:sz="0" w:space="0" w:color="auto"/>
            <w:left w:val="none" w:sz="0" w:space="0" w:color="auto"/>
            <w:bottom w:val="none" w:sz="0" w:space="0" w:color="auto"/>
            <w:right w:val="none" w:sz="0" w:space="0" w:color="auto"/>
          </w:divBdr>
        </w:div>
        <w:div w:id="411007892">
          <w:marLeft w:val="0"/>
          <w:marRight w:val="0"/>
          <w:marTop w:val="0"/>
          <w:marBottom w:val="0"/>
          <w:divBdr>
            <w:top w:val="none" w:sz="0" w:space="0" w:color="auto"/>
            <w:left w:val="none" w:sz="0" w:space="0" w:color="auto"/>
            <w:bottom w:val="none" w:sz="0" w:space="0" w:color="auto"/>
            <w:right w:val="none" w:sz="0" w:space="0" w:color="auto"/>
          </w:divBdr>
        </w:div>
        <w:div w:id="427584461">
          <w:marLeft w:val="0"/>
          <w:marRight w:val="0"/>
          <w:marTop w:val="0"/>
          <w:marBottom w:val="0"/>
          <w:divBdr>
            <w:top w:val="none" w:sz="0" w:space="0" w:color="auto"/>
            <w:left w:val="none" w:sz="0" w:space="0" w:color="auto"/>
            <w:bottom w:val="none" w:sz="0" w:space="0" w:color="auto"/>
            <w:right w:val="none" w:sz="0" w:space="0" w:color="auto"/>
          </w:divBdr>
        </w:div>
        <w:div w:id="443161986">
          <w:marLeft w:val="0"/>
          <w:marRight w:val="0"/>
          <w:marTop w:val="0"/>
          <w:marBottom w:val="0"/>
          <w:divBdr>
            <w:top w:val="none" w:sz="0" w:space="0" w:color="auto"/>
            <w:left w:val="none" w:sz="0" w:space="0" w:color="auto"/>
            <w:bottom w:val="none" w:sz="0" w:space="0" w:color="auto"/>
            <w:right w:val="none" w:sz="0" w:space="0" w:color="auto"/>
          </w:divBdr>
        </w:div>
        <w:div w:id="445808397">
          <w:marLeft w:val="0"/>
          <w:marRight w:val="0"/>
          <w:marTop w:val="0"/>
          <w:marBottom w:val="0"/>
          <w:divBdr>
            <w:top w:val="none" w:sz="0" w:space="0" w:color="auto"/>
            <w:left w:val="none" w:sz="0" w:space="0" w:color="auto"/>
            <w:bottom w:val="none" w:sz="0" w:space="0" w:color="auto"/>
            <w:right w:val="none" w:sz="0" w:space="0" w:color="auto"/>
          </w:divBdr>
        </w:div>
        <w:div w:id="525602939">
          <w:marLeft w:val="0"/>
          <w:marRight w:val="0"/>
          <w:marTop w:val="0"/>
          <w:marBottom w:val="0"/>
          <w:divBdr>
            <w:top w:val="none" w:sz="0" w:space="0" w:color="auto"/>
            <w:left w:val="none" w:sz="0" w:space="0" w:color="auto"/>
            <w:bottom w:val="none" w:sz="0" w:space="0" w:color="auto"/>
            <w:right w:val="none" w:sz="0" w:space="0" w:color="auto"/>
          </w:divBdr>
        </w:div>
        <w:div w:id="582491417">
          <w:marLeft w:val="0"/>
          <w:marRight w:val="0"/>
          <w:marTop w:val="0"/>
          <w:marBottom w:val="0"/>
          <w:divBdr>
            <w:top w:val="none" w:sz="0" w:space="0" w:color="auto"/>
            <w:left w:val="none" w:sz="0" w:space="0" w:color="auto"/>
            <w:bottom w:val="none" w:sz="0" w:space="0" w:color="auto"/>
            <w:right w:val="none" w:sz="0" w:space="0" w:color="auto"/>
          </w:divBdr>
        </w:div>
        <w:div w:id="671686133">
          <w:marLeft w:val="0"/>
          <w:marRight w:val="0"/>
          <w:marTop w:val="0"/>
          <w:marBottom w:val="0"/>
          <w:divBdr>
            <w:top w:val="none" w:sz="0" w:space="0" w:color="auto"/>
            <w:left w:val="none" w:sz="0" w:space="0" w:color="auto"/>
            <w:bottom w:val="none" w:sz="0" w:space="0" w:color="auto"/>
            <w:right w:val="none" w:sz="0" w:space="0" w:color="auto"/>
          </w:divBdr>
          <w:divsChild>
            <w:div w:id="298801538">
              <w:marLeft w:val="0"/>
              <w:marRight w:val="0"/>
              <w:marTop w:val="0"/>
              <w:marBottom w:val="0"/>
              <w:divBdr>
                <w:top w:val="none" w:sz="0" w:space="0" w:color="auto"/>
                <w:left w:val="none" w:sz="0" w:space="0" w:color="auto"/>
                <w:bottom w:val="none" w:sz="0" w:space="0" w:color="auto"/>
                <w:right w:val="none" w:sz="0" w:space="0" w:color="auto"/>
              </w:divBdr>
            </w:div>
            <w:div w:id="530648941">
              <w:marLeft w:val="0"/>
              <w:marRight w:val="0"/>
              <w:marTop w:val="0"/>
              <w:marBottom w:val="0"/>
              <w:divBdr>
                <w:top w:val="none" w:sz="0" w:space="0" w:color="auto"/>
                <w:left w:val="none" w:sz="0" w:space="0" w:color="auto"/>
                <w:bottom w:val="none" w:sz="0" w:space="0" w:color="auto"/>
                <w:right w:val="none" w:sz="0" w:space="0" w:color="auto"/>
              </w:divBdr>
            </w:div>
            <w:div w:id="620067943">
              <w:marLeft w:val="0"/>
              <w:marRight w:val="0"/>
              <w:marTop w:val="0"/>
              <w:marBottom w:val="0"/>
              <w:divBdr>
                <w:top w:val="none" w:sz="0" w:space="0" w:color="auto"/>
                <w:left w:val="none" w:sz="0" w:space="0" w:color="auto"/>
                <w:bottom w:val="none" w:sz="0" w:space="0" w:color="auto"/>
                <w:right w:val="none" w:sz="0" w:space="0" w:color="auto"/>
              </w:divBdr>
            </w:div>
            <w:div w:id="801582007">
              <w:marLeft w:val="0"/>
              <w:marRight w:val="0"/>
              <w:marTop w:val="0"/>
              <w:marBottom w:val="0"/>
              <w:divBdr>
                <w:top w:val="none" w:sz="0" w:space="0" w:color="auto"/>
                <w:left w:val="none" w:sz="0" w:space="0" w:color="auto"/>
                <w:bottom w:val="none" w:sz="0" w:space="0" w:color="auto"/>
                <w:right w:val="none" w:sz="0" w:space="0" w:color="auto"/>
              </w:divBdr>
            </w:div>
            <w:div w:id="837230302">
              <w:marLeft w:val="0"/>
              <w:marRight w:val="0"/>
              <w:marTop w:val="0"/>
              <w:marBottom w:val="0"/>
              <w:divBdr>
                <w:top w:val="none" w:sz="0" w:space="0" w:color="auto"/>
                <w:left w:val="none" w:sz="0" w:space="0" w:color="auto"/>
                <w:bottom w:val="none" w:sz="0" w:space="0" w:color="auto"/>
                <w:right w:val="none" w:sz="0" w:space="0" w:color="auto"/>
              </w:divBdr>
            </w:div>
            <w:div w:id="907493711">
              <w:marLeft w:val="0"/>
              <w:marRight w:val="0"/>
              <w:marTop w:val="0"/>
              <w:marBottom w:val="0"/>
              <w:divBdr>
                <w:top w:val="none" w:sz="0" w:space="0" w:color="auto"/>
                <w:left w:val="none" w:sz="0" w:space="0" w:color="auto"/>
                <w:bottom w:val="none" w:sz="0" w:space="0" w:color="auto"/>
                <w:right w:val="none" w:sz="0" w:space="0" w:color="auto"/>
              </w:divBdr>
            </w:div>
            <w:div w:id="977686328">
              <w:marLeft w:val="0"/>
              <w:marRight w:val="0"/>
              <w:marTop w:val="0"/>
              <w:marBottom w:val="0"/>
              <w:divBdr>
                <w:top w:val="none" w:sz="0" w:space="0" w:color="auto"/>
                <w:left w:val="none" w:sz="0" w:space="0" w:color="auto"/>
                <w:bottom w:val="none" w:sz="0" w:space="0" w:color="auto"/>
                <w:right w:val="none" w:sz="0" w:space="0" w:color="auto"/>
              </w:divBdr>
            </w:div>
            <w:div w:id="1061102197">
              <w:marLeft w:val="0"/>
              <w:marRight w:val="0"/>
              <w:marTop w:val="0"/>
              <w:marBottom w:val="0"/>
              <w:divBdr>
                <w:top w:val="none" w:sz="0" w:space="0" w:color="auto"/>
                <w:left w:val="none" w:sz="0" w:space="0" w:color="auto"/>
                <w:bottom w:val="none" w:sz="0" w:space="0" w:color="auto"/>
                <w:right w:val="none" w:sz="0" w:space="0" w:color="auto"/>
              </w:divBdr>
            </w:div>
            <w:div w:id="1098675416">
              <w:marLeft w:val="0"/>
              <w:marRight w:val="0"/>
              <w:marTop w:val="0"/>
              <w:marBottom w:val="0"/>
              <w:divBdr>
                <w:top w:val="none" w:sz="0" w:space="0" w:color="auto"/>
                <w:left w:val="none" w:sz="0" w:space="0" w:color="auto"/>
                <w:bottom w:val="none" w:sz="0" w:space="0" w:color="auto"/>
                <w:right w:val="none" w:sz="0" w:space="0" w:color="auto"/>
              </w:divBdr>
            </w:div>
            <w:div w:id="1171488399">
              <w:marLeft w:val="0"/>
              <w:marRight w:val="0"/>
              <w:marTop w:val="0"/>
              <w:marBottom w:val="0"/>
              <w:divBdr>
                <w:top w:val="none" w:sz="0" w:space="0" w:color="auto"/>
                <w:left w:val="none" w:sz="0" w:space="0" w:color="auto"/>
                <w:bottom w:val="none" w:sz="0" w:space="0" w:color="auto"/>
                <w:right w:val="none" w:sz="0" w:space="0" w:color="auto"/>
              </w:divBdr>
            </w:div>
            <w:div w:id="1381788816">
              <w:marLeft w:val="0"/>
              <w:marRight w:val="0"/>
              <w:marTop w:val="0"/>
              <w:marBottom w:val="0"/>
              <w:divBdr>
                <w:top w:val="none" w:sz="0" w:space="0" w:color="auto"/>
                <w:left w:val="none" w:sz="0" w:space="0" w:color="auto"/>
                <w:bottom w:val="none" w:sz="0" w:space="0" w:color="auto"/>
                <w:right w:val="none" w:sz="0" w:space="0" w:color="auto"/>
              </w:divBdr>
            </w:div>
            <w:div w:id="1488861838">
              <w:marLeft w:val="0"/>
              <w:marRight w:val="0"/>
              <w:marTop w:val="0"/>
              <w:marBottom w:val="0"/>
              <w:divBdr>
                <w:top w:val="none" w:sz="0" w:space="0" w:color="auto"/>
                <w:left w:val="none" w:sz="0" w:space="0" w:color="auto"/>
                <w:bottom w:val="none" w:sz="0" w:space="0" w:color="auto"/>
                <w:right w:val="none" w:sz="0" w:space="0" w:color="auto"/>
              </w:divBdr>
            </w:div>
            <w:div w:id="1627348449">
              <w:marLeft w:val="0"/>
              <w:marRight w:val="0"/>
              <w:marTop w:val="0"/>
              <w:marBottom w:val="0"/>
              <w:divBdr>
                <w:top w:val="none" w:sz="0" w:space="0" w:color="auto"/>
                <w:left w:val="none" w:sz="0" w:space="0" w:color="auto"/>
                <w:bottom w:val="none" w:sz="0" w:space="0" w:color="auto"/>
                <w:right w:val="none" w:sz="0" w:space="0" w:color="auto"/>
              </w:divBdr>
            </w:div>
            <w:div w:id="1724937690">
              <w:marLeft w:val="0"/>
              <w:marRight w:val="0"/>
              <w:marTop w:val="0"/>
              <w:marBottom w:val="0"/>
              <w:divBdr>
                <w:top w:val="none" w:sz="0" w:space="0" w:color="auto"/>
                <w:left w:val="none" w:sz="0" w:space="0" w:color="auto"/>
                <w:bottom w:val="none" w:sz="0" w:space="0" w:color="auto"/>
                <w:right w:val="none" w:sz="0" w:space="0" w:color="auto"/>
              </w:divBdr>
            </w:div>
            <w:div w:id="1787308410">
              <w:marLeft w:val="0"/>
              <w:marRight w:val="0"/>
              <w:marTop w:val="0"/>
              <w:marBottom w:val="0"/>
              <w:divBdr>
                <w:top w:val="none" w:sz="0" w:space="0" w:color="auto"/>
                <w:left w:val="none" w:sz="0" w:space="0" w:color="auto"/>
                <w:bottom w:val="none" w:sz="0" w:space="0" w:color="auto"/>
                <w:right w:val="none" w:sz="0" w:space="0" w:color="auto"/>
              </w:divBdr>
            </w:div>
            <w:div w:id="1793670871">
              <w:marLeft w:val="0"/>
              <w:marRight w:val="0"/>
              <w:marTop w:val="0"/>
              <w:marBottom w:val="0"/>
              <w:divBdr>
                <w:top w:val="none" w:sz="0" w:space="0" w:color="auto"/>
                <w:left w:val="none" w:sz="0" w:space="0" w:color="auto"/>
                <w:bottom w:val="none" w:sz="0" w:space="0" w:color="auto"/>
                <w:right w:val="none" w:sz="0" w:space="0" w:color="auto"/>
              </w:divBdr>
            </w:div>
            <w:div w:id="1800100515">
              <w:marLeft w:val="0"/>
              <w:marRight w:val="0"/>
              <w:marTop w:val="0"/>
              <w:marBottom w:val="0"/>
              <w:divBdr>
                <w:top w:val="none" w:sz="0" w:space="0" w:color="auto"/>
                <w:left w:val="none" w:sz="0" w:space="0" w:color="auto"/>
                <w:bottom w:val="none" w:sz="0" w:space="0" w:color="auto"/>
                <w:right w:val="none" w:sz="0" w:space="0" w:color="auto"/>
              </w:divBdr>
            </w:div>
            <w:div w:id="2059012488">
              <w:marLeft w:val="0"/>
              <w:marRight w:val="0"/>
              <w:marTop w:val="0"/>
              <w:marBottom w:val="0"/>
              <w:divBdr>
                <w:top w:val="none" w:sz="0" w:space="0" w:color="auto"/>
                <w:left w:val="none" w:sz="0" w:space="0" w:color="auto"/>
                <w:bottom w:val="none" w:sz="0" w:space="0" w:color="auto"/>
                <w:right w:val="none" w:sz="0" w:space="0" w:color="auto"/>
              </w:divBdr>
            </w:div>
          </w:divsChild>
        </w:div>
        <w:div w:id="710105575">
          <w:marLeft w:val="0"/>
          <w:marRight w:val="0"/>
          <w:marTop w:val="0"/>
          <w:marBottom w:val="0"/>
          <w:divBdr>
            <w:top w:val="none" w:sz="0" w:space="0" w:color="auto"/>
            <w:left w:val="none" w:sz="0" w:space="0" w:color="auto"/>
            <w:bottom w:val="none" w:sz="0" w:space="0" w:color="auto"/>
            <w:right w:val="none" w:sz="0" w:space="0" w:color="auto"/>
          </w:divBdr>
        </w:div>
        <w:div w:id="726998738">
          <w:marLeft w:val="0"/>
          <w:marRight w:val="0"/>
          <w:marTop w:val="0"/>
          <w:marBottom w:val="0"/>
          <w:divBdr>
            <w:top w:val="none" w:sz="0" w:space="0" w:color="auto"/>
            <w:left w:val="none" w:sz="0" w:space="0" w:color="auto"/>
            <w:bottom w:val="none" w:sz="0" w:space="0" w:color="auto"/>
            <w:right w:val="none" w:sz="0" w:space="0" w:color="auto"/>
          </w:divBdr>
        </w:div>
        <w:div w:id="759520457">
          <w:marLeft w:val="0"/>
          <w:marRight w:val="0"/>
          <w:marTop w:val="0"/>
          <w:marBottom w:val="0"/>
          <w:divBdr>
            <w:top w:val="none" w:sz="0" w:space="0" w:color="auto"/>
            <w:left w:val="none" w:sz="0" w:space="0" w:color="auto"/>
            <w:bottom w:val="none" w:sz="0" w:space="0" w:color="auto"/>
            <w:right w:val="none" w:sz="0" w:space="0" w:color="auto"/>
          </w:divBdr>
        </w:div>
        <w:div w:id="775172074">
          <w:marLeft w:val="0"/>
          <w:marRight w:val="0"/>
          <w:marTop w:val="0"/>
          <w:marBottom w:val="0"/>
          <w:divBdr>
            <w:top w:val="none" w:sz="0" w:space="0" w:color="auto"/>
            <w:left w:val="none" w:sz="0" w:space="0" w:color="auto"/>
            <w:bottom w:val="none" w:sz="0" w:space="0" w:color="auto"/>
            <w:right w:val="none" w:sz="0" w:space="0" w:color="auto"/>
          </w:divBdr>
        </w:div>
        <w:div w:id="842623411">
          <w:marLeft w:val="0"/>
          <w:marRight w:val="0"/>
          <w:marTop w:val="0"/>
          <w:marBottom w:val="0"/>
          <w:divBdr>
            <w:top w:val="none" w:sz="0" w:space="0" w:color="auto"/>
            <w:left w:val="none" w:sz="0" w:space="0" w:color="auto"/>
            <w:bottom w:val="none" w:sz="0" w:space="0" w:color="auto"/>
            <w:right w:val="none" w:sz="0" w:space="0" w:color="auto"/>
          </w:divBdr>
        </w:div>
        <w:div w:id="936522322">
          <w:marLeft w:val="0"/>
          <w:marRight w:val="0"/>
          <w:marTop w:val="0"/>
          <w:marBottom w:val="0"/>
          <w:divBdr>
            <w:top w:val="none" w:sz="0" w:space="0" w:color="auto"/>
            <w:left w:val="none" w:sz="0" w:space="0" w:color="auto"/>
            <w:bottom w:val="none" w:sz="0" w:space="0" w:color="auto"/>
            <w:right w:val="none" w:sz="0" w:space="0" w:color="auto"/>
          </w:divBdr>
        </w:div>
        <w:div w:id="1017384847">
          <w:marLeft w:val="0"/>
          <w:marRight w:val="0"/>
          <w:marTop w:val="0"/>
          <w:marBottom w:val="0"/>
          <w:divBdr>
            <w:top w:val="none" w:sz="0" w:space="0" w:color="auto"/>
            <w:left w:val="none" w:sz="0" w:space="0" w:color="auto"/>
            <w:bottom w:val="none" w:sz="0" w:space="0" w:color="auto"/>
            <w:right w:val="none" w:sz="0" w:space="0" w:color="auto"/>
          </w:divBdr>
        </w:div>
        <w:div w:id="1212037918">
          <w:marLeft w:val="0"/>
          <w:marRight w:val="0"/>
          <w:marTop w:val="0"/>
          <w:marBottom w:val="0"/>
          <w:divBdr>
            <w:top w:val="none" w:sz="0" w:space="0" w:color="auto"/>
            <w:left w:val="none" w:sz="0" w:space="0" w:color="auto"/>
            <w:bottom w:val="none" w:sz="0" w:space="0" w:color="auto"/>
            <w:right w:val="none" w:sz="0" w:space="0" w:color="auto"/>
          </w:divBdr>
        </w:div>
        <w:div w:id="1283729950">
          <w:marLeft w:val="0"/>
          <w:marRight w:val="0"/>
          <w:marTop w:val="0"/>
          <w:marBottom w:val="0"/>
          <w:divBdr>
            <w:top w:val="none" w:sz="0" w:space="0" w:color="auto"/>
            <w:left w:val="none" w:sz="0" w:space="0" w:color="auto"/>
            <w:bottom w:val="none" w:sz="0" w:space="0" w:color="auto"/>
            <w:right w:val="none" w:sz="0" w:space="0" w:color="auto"/>
          </w:divBdr>
          <w:divsChild>
            <w:div w:id="65811334">
              <w:marLeft w:val="0"/>
              <w:marRight w:val="0"/>
              <w:marTop w:val="0"/>
              <w:marBottom w:val="0"/>
              <w:divBdr>
                <w:top w:val="none" w:sz="0" w:space="0" w:color="auto"/>
                <w:left w:val="none" w:sz="0" w:space="0" w:color="auto"/>
                <w:bottom w:val="none" w:sz="0" w:space="0" w:color="auto"/>
                <w:right w:val="none" w:sz="0" w:space="0" w:color="auto"/>
              </w:divBdr>
            </w:div>
            <w:div w:id="171532567">
              <w:marLeft w:val="0"/>
              <w:marRight w:val="0"/>
              <w:marTop w:val="0"/>
              <w:marBottom w:val="0"/>
              <w:divBdr>
                <w:top w:val="none" w:sz="0" w:space="0" w:color="auto"/>
                <w:left w:val="none" w:sz="0" w:space="0" w:color="auto"/>
                <w:bottom w:val="none" w:sz="0" w:space="0" w:color="auto"/>
                <w:right w:val="none" w:sz="0" w:space="0" w:color="auto"/>
              </w:divBdr>
            </w:div>
            <w:div w:id="260341427">
              <w:marLeft w:val="0"/>
              <w:marRight w:val="0"/>
              <w:marTop w:val="0"/>
              <w:marBottom w:val="0"/>
              <w:divBdr>
                <w:top w:val="none" w:sz="0" w:space="0" w:color="auto"/>
                <w:left w:val="none" w:sz="0" w:space="0" w:color="auto"/>
                <w:bottom w:val="none" w:sz="0" w:space="0" w:color="auto"/>
                <w:right w:val="none" w:sz="0" w:space="0" w:color="auto"/>
              </w:divBdr>
            </w:div>
            <w:div w:id="288324982">
              <w:marLeft w:val="0"/>
              <w:marRight w:val="0"/>
              <w:marTop w:val="0"/>
              <w:marBottom w:val="0"/>
              <w:divBdr>
                <w:top w:val="none" w:sz="0" w:space="0" w:color="auto"/>
                <w:left w:val="none" w:sz="0" w:space="0" w:color="auto"/>
                <w:bottom w:val="none" w:sz="0" w:space="0" w:color="auto"/>
                <w:right w:val="none" w:sz="0" w:space="0" w:color="auto"/>
              </w:divBdr>
            </w:div>
            <w:div w:id="575285959">
              <w:marLeft w:val="0"/>
              <w:marRight w:val="0"/>
              <w:marTop w:val="0"/>
              <w:marBottom w:val="0"/>
              <w:divBdr>
                <w:top w:val="none" w:sz="0" w:space="0" w:color="auto"/>
                <w:left w:val="none" w:sz="0" w:space="0" w:color="auto"/>
                <w:bottom w:val="none" w:sz="0" w:space="0" w:color="auto"/>
                <w:right w:val="none" w:sz="0" w:space="0" w:color="auto"/>
              </w:divBdr>
            </w:div>
            <w:div w:id="603997462">
              <w:marLeft w:val="0"/>
              <w:marRight w:val="0"/>
              <w:marTop w:val="0"/>
              <w:marBottom w:val="0"/>
              <w:divBdr>
                <w:top w:val="none" w:sz="0" w:space="0" w:color="auto"/>
                <w:left w:val="none" w:sz="0" w:space="0" w:color="auto"/>
                <w:bottom w:val="none" w:sz="0" w:space="0" w:color="auto"/>
                <w:right w:val="none" w:sz="0" w:space="0" w:color="auto"/>
              </w:divBdr>
            </w:div>
            <w:div w:id="859897881">
              <w:marLeft w:val="0"/>
              <w:marRight w:val="0"/>
              <w:marTop w:val="0"/>
              <w:marBottom w:val="0"/>
              <w:divBdr>
                <w:top w:val="none" w:sz="0" w:space="0" w:color="auto"/>
                <w:left w:val="none" w:sz="0" w:space="0" w:color="auto"/>
                <w:bottom w:val="none" w:sz="0" w:space="0" w:color="auto"/>
                <w:right w:val="none" w:sz="0" w:space="0" w:color="auto"/>
              </w:divBdr>
            </w:div>
            <w:div w:id="919095304">
              <w:marLeft w:val="0"/>
              <w:marRight w:val="0"/>
              <w:marTop w:val="0"/>
              <w:marBottom w:val="0"/>
              <w:divBdr>
                <w:top w:val="none" w:sz="0" w:space="0" w:color="auto"/>
                <w:left w:val="none" w:sz="0" w:space="0" w:color="auto"/>
                <w:bottom w:val="none" w:sz="0" w:space="0" w:color="auto"/>
                <w:right w:val="none" w:sz="0" w:space="0" w:color="auto"/>
              </w:divBdr>
            </w:div>
            <w:div w:id="963927571">
              <w:marLeft w:val="0"/>
              <w:marRight w:val="0"/>
              <w:marTop w:val="0"/>
              <w:marBottom w:val="0"/>
              <w:divBdr>
                <w:top w:val="none" w:sz="0" w:space="0" w:color="auto"/>
                <w:left w:val="none" w:sz="0" w:space="0" w:color="auto"/>
                <w:bottom w:val="none" w:sz="0" w:space="0" w:color="auto"/>
                <w:right w:val="none" w:sz="0" w:space="0" w:color="auto"/>
              </w:divBdr>
            </w:div>
            <w:div w:id="995688492">
              <w:marLeft w:val="0"/>
              <w:marRight w:val="0"/>
              <w:marTop w:val="0"/>
              <w:marBottom w:val="0"/>
              <w:divBdr>
                <w:top w:val="none" w:sz="0" w:space="0" w:color="auto"/>
                <w:left w:val="none" w:sz="0" w:space="0" w:color="auto"/>
                <w:bottom w:val="none" w:sz="0" w:space="0" w:color="auto"/>
                <w:right w:val="none" w:sz="0" w:space="0" w:color="auto"/>
              </w:divBdr>
            </w:div>
            <w:div w:id="1073701873">
              <w:marLeft w:val="0"/>
              <w:marRight w:val="0"/>
              <w:marTop w:val="0"/>
              <w:marBottom w:val="0"/>
              <w:divBdr>
                <w:top w:val="none" w:sz="0" w:space="0" w:color="auto"/>
                <w:left w:val="none" w:sz="0" w:space="0" w:color="auto"/>
                <w:bottom w:val="none" w:sz="0" w:space="0" w:color="auto"/>
                <w:right w:val="none" w:sz="0" w:space="0" w:color="auto"/>
              </w:divBdr>
            </w:div>
            <w:div w:id="1142232158">
              <w:marLeft w:val="0"/>
              <w:marRight w:val="0"/>
              <w:marTop w:val="0"/>
              <w:marBottom w:val="0"/>
              <w:divBdr>
                <w:top w:val="none" w:sz="0" w:space="0" w:color="auto"/>
                <w:left w:val="none" w:sz="0" w:space="0" w:color="auto"/>
                <w:bottom w:val="none" w:sz="0" w:space="0" w:color="auto"/>
                <w:right w:val="none" w:sz="0" w:space="0" w:color="auto"/>
              </w:divBdr>
            </w:div>
            <w:div w:id="1169099056">
              <w:marLeft w:val="0"/>
              <w:marRight w:val="0"/>
              <w:marTop w:val="0"/>
              <w:marBottom w:val="0"/>
              <w:divBdr>
                <w:top w:val="none" w:sz="0" w:space="0" w:color="auto"/>
                <w:left w:val="none" w:sz="0" w:space="0" w:color="auto"/>
                <w:bottom w:val="none" w:sz="0" w:space="0" w:color="auto"/>
                <w:right w:val="none" w:sz="0" w:space="0" w:color="auto"/>
              </w:divBdr>
            </w:div>
            <w:div w:id="1266229084">
              <w:marLeft w:val="0"/>
              <w:marRight w:val="0"/>
              <w:marTop w:val="0"/>
              <w:marBottom w:val="0"/>
              <w:divBdr>
                <w:top w:val="none" w:sz="0" w:space="0" w:color="auto"/>
                <w:left w:val="none" w:sz="0" w:space="0" w:color="auto"/>
                <w:bottom w:val="none" w:sz="0" w:space="0" w:color="auto"/>
                <w:right w:val="none" w:sz="0" w:space="0" w:color="auto"/>
              </w:divBdr>
            </w:div>
            <w:div w:id="1330862680">
              <w:marLeft w:val="0"/>
              <w:marRight w:val="0"/>
              <w:marTop w:val="0"/>
              <w:marBottom w:val="0"/>
              <w:divBdr>
                <w:top w:val="none" w:sz="0" w:space="0" w:color="auto"/>
                <w:left w:val="none" w:sz="0" w:space="0" w:color="auto"/>
                <w:bottom w:val="none" w:sz="0" w:space="0" w:color="auto"/>
                <w:right w:val="none" w:sz="0" w:space="0" w:color="auto"/>
              </w:divBdr>
            </w:div>
            <w:div w:id="1441491990">
              <w:marLeft w:val="0"/>
              <w:marRight w:val="0"/>
              <w:marTop w:val="0"/>
              <w:marBottom w:val="0"/>
              <w:divBdr>
                <w:top w:val="none" w:sz="0" w:space="0" w:color="auto"/>
                <w:left w:val="none" w:sz="0" w:space="0" w:color="auto"/>
                <w:bottom w:val="none" w:sz="0" w:space="0" w:color="auto"/>
                <w:right w:val="none" w:sz="0" w:space="0" w:color="auto"/>
              </w:divBdr>
            </w:div>
            <w:div w:id="1493255501">
              <w:marLeft w:val="0"/>
              <w:marRight w:val="0"/>
              <w:marTop w:val="0"/>
              <w:marBottom w:val="0"/>
              <w:divBdr>
                <w:top w:val="none" w:sz="0" w:space="0" w:color="auto"/>
                <w:left w:val="none" w:sz="0" w:space="0" w:color="auto"/>
                <w:bottom w:val="none" w:sz="0" w:space="0" w:color="auto"/>
                <w:right w:val="none" w:sz="0" w:space="0" w:color="auto"/>
              </w:divBdr>
            </w:div>
            <w:div w:id="1784878353">
              <w:marLeft w:val="0"/>
              <w:marRight w:val="0"/>
              <w:marTop w:val="0"/>
              <w:marBottom w:val="0"/>
              <w:divBdr>
                <w:top w:val="none" w:sz="0" w:space="0" w:color="auto"/>
                <w:left w:val="none" w:sz="0" w:space="0" w:color="auto"/>
                <w:bottom w:val="none" w:sz="0" w:space="0" w:color="auto"/>
                <w:right w:val="none" w:sz="0" w:space="0" w:color="auto"/>
              </w:divBdr>
            </w:div>
            <w:div w:id="1913931430">
              <w:marLeft w:val="0"/>
              <w:marRight w:val="0"/>
              <w:marTop w:val="0"/>
              <w:marBottom w:val="0"/>
              <w:divBdr>
                <w:top w:val="none" w:sz="0" w:space="0" w:color="auto"/>
                <w:left w:val="none" w:sz="0" w:space="0" w:color="auto"/>
                <w:bottom w:val="none" w:sz="0" w:space="0" w:color="auto"/>
                <w:right w:val="none" w:sz="0" w:space="0" w:color="auto"/>
              </w:divBdr>
            </w:div>
            <w:div w:id="1988821807">
              <w:marLeft w:val="0"/>
              <w:marRight w:val="0"/>
              <w:marTop w:val="0"/>
              <w:marBottom w:val="0"/>
              <w:divBdr>
                <w:top w:val="none" w:sz="0" w:space="0" w:color="auto"/>
                <w:left w:val="none" w:sz="0" w:space="0" w:color="auto"/>
                <w:bottom w:val="none" w:sz="0" w:space="0" w:color="auto"/>
                <w:right w:val="none" w:sz="0" w:space="0" w:color="auto"/>
              </w:divBdr>
            </w:div>
          </w:divsChild>
        </w:div>
        <w:div w:id="1332636303">
          <w:marLeft w:val="0"/>
          <w:marRight w:val="0"/>
          <w:marTop w:val="0"/>
          <w:marBottom w:val="0"/>
          <w:divBdr>
            <w:top w:val="none" w:sz="0" w:space="0" w:color="auto"/>
            <w:left w:val="none" w:sz="0" w:space="0" w:color="auto"/>
            <w:bottom w:val="none" w:sz="0" w:space="0" w:color="auto"/>
            <w:right w:val="none" w:sz="0" w:space="0" w:color="auto"/>
          </w:divBdr>
        </w:div>
        <w:div w:id="1340040905">
          <w:marLeft w:val="0"/>
          <w:marRight w:val="0"/>
          <w:marTop w:val="0"/>
          <w:marBottom w:val="0"/>
          <w:divBdr>
            <w:top w:val="none" w:sz="0" w:space="0" w:color="auto"/>
            <w:left w:val="none" w:sz="0" w:space="0" w:color="auto"/>
            <w:bottom w:val="none" w:sz="0" w:space="0" w:color="auto"/>
            <w:right w:val="none" w:sz="0" w:space="0" w:color="auto"/>
          </w:divBdr>
        </w:div>
        <w:div w:id="1654941947">
          <w:marLeft w:val="0"/>
          <w:marRight w:val="0"/>
          <w:marTop w:val="0"/>
          <w:marBottom w:val="0"/>
          <w:divBdr>
            <w:top w:val="none" w:sz="0" w:space="0" w:color="auto"/>
            <w:left w:val="none" w:sz="0" w:space="0" w:color="auto"/>
            <w:bottom w:val="none" w:sz="0" w:space="0" w:color="auto"/>
            <w:right w:val="none" w:sz="0" w:space="0" w:color="auto"/>
          </w:divBdr>
        </w:div>
        <w:div w:id="1712343027">
          <w:marLeft w:val="0"/>
          <w:marRight w:val="0"/>
          <w:marTop w:val="0"/>
          <w:marBottom w:val="0"/>
          <w:divBdr>
            <w:top w:val="none" w:sz="0" w:space="0" w:color="auto"/>
            <w:left w:val="none" w:sz="0" w:space="0" w:color="auto"/>
            <w:bottom w:val="none" w:sz="0" w:space="0" w:color="auto"/>
            <w:right w:val="none" w:sz="0" w:space="0" w:color="auto"/>
          </w:divBdr>
        </w:div>
        <w:div w:id="1835955082">
          <w:marLeft w:val="0"/>
          <w:marRight w:val="0"/>
          <w:marTop w:val="0"/>
          <w:marBottom w:val="0"/>
          <w:divBdr>
            <w:top w:val="none" w:sz="0" w:space="0" w:color="auto"/>
            <w:left w:val="none" w:sz="0" w:space="0" w:color="auto"/>
            <w:bottom w:val="none" w:sz="0" w:space="0" w:color="auto"/>
            <w:right w:val="none" w:sz="0" w:space="0" w:color="auto"/>
          </w:divBdr>
        </w:div>
        <w:div w:id="1986087788">
          <w:marLeft w:val="0"/>
          <w:marRight w:val="0"/>
          <w:marTop w:val="0"/>
          <w:marBottom w:val="0"/>
          <w:divBdr>
            <w:top w:val="none" w:sz="0" w:space="0" w:color="auto"/>
            <w:left w:val="none" w:sz="0" w:space="0" w:color="auto"/>
            <w:bottom w:val="none" w:sz="0" w:space="0" w:color="auto"/>
            <w:right w:val="none" w:sz="0" w:space="0" w:color="auto"/>
          </w:divBdr>
        </w:div>
        <w:div w:id="213871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bing.com/ck/a?!&amp;&amp;p=87f7375228add5d4JmltdHM9MTY5MzM1MzYwMCZpZ3VpZD0zMDI1MTQxMS0wZTY3LTYwYzYtMjc5ZS0wNzRlMGY4NzYxZmQmaW5zaWQ9NTE5NA&amp;ptn=3&amp;hsh=3&amp;fclid=30251411-0e67-60c6-279e-074e0f8761fd&amp;psq=cardiff+metropolitan+university+senior+staff+remuneration+framework+2223&amp;u=a1aHR0cHM6Ly93d3cuY2FyZGlmZm1ldC5hYy51ay9hYm91dC9zdHJ1Y3R1cmVhbmRnb3Zlcm5hbmNlL0RvY3VtZW50cy9LZXklMjBEb2N1bWVudHMvc2VuaW9yLXN0YWZmLXJlbXVuZXJhdGlvbi1wb2xpY3ktZnJhbWV3b3JrLTIyMjMuZG9jeA&amp;ntb=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port Paper (Simple)" ma:contentTypeID="0x010100F5DFABEFE2695941A1BB0035C7F7529400451E8C830A969647AD31ADF9DC64886E" ma:contentTypeVersion="3" ma:contentTypeDescription="" ma:contentTypeScope="" ma:versionID="49e7264bb1e1e9f631e83e18071658a3">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documentManagement>
</p:properties>
</file>

<file path=customXml/itemProps1.xml><?xml version="1.0" encoding="utf-8"?>
<ds:datastoreItem xmlns:ds="http://schemas.openxmlformats.org/officeDocument/2006/customXml" ds:itemID="{A434D21E-7102-437B-B980-21F7C0BA515C}">
  <ds:schemaRefs>
    <ds:schemaRef ds:uri="http://schemas.microsoft.com/sharepoint/v3/contenttype/forms"/>
  </ds:schemaRefs>
</ds:datastoreItem>
</file>

<file path=customXml/itemProps2.xml><?xml version="1.0" encoding="utf-8"?>
<ds:datastoreItem xmlns:ds="http://schemas.openxmlformats.org/officeDocument/2006/customXml" ds:itemID="{2D74A144-306E-40CF-9366-A735317A0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C774D-F0D1-40C3-96BC-725DE6123A59}">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1694</Words>
  <Characters>9658</Characters>
  <Application>Microsoft Office Word</Application>
  <DocSecurity>8</DocSecurity>
  <Lines>80</Lines>
  <Paragraphs>22</Paragraphs>
  <ScaleCrop>false</ScaleCrop>
  <Company>Cardiff Metropolitan University</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Sian</dc:creator>
  <cp:keywords/>
  <dc:description/>
  <cp:lastModifiedBy>Samphier, Emily</cp:lastModifiedBy>
  <cp:revision>3</cp:revision>
  <dcterms:created xsi:type="dcterms:W3CDTF">2025-01-08T14:28:00Z</dcterms:created>
  <dcterms:modified xsi:type="dcterms:W3CDTF">2025-01-09T10:18:00Z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0x010100F5DFABEFE2695941A1BB0035C7F7529400451E8C830A969647AD31ADF9DC64886E</vt:lpwstr>
  </property>
  <property fmtid="{D5CDD505-2E9C-101B-9397-08002B2CF9AE}" pid="3" name="Order">
    <vt:r8>459800</vt:r8>
  </property>
  <property fmtid="{D5CDD505-2E9C-101B-9397-08002B2CF9AE}" pid="4" name="TriggerFlowInfo">
    <vt:lpwstr/>
  </property>
  <property fmtid="{D5CDD505-2E9C-101B-9397-08002B2CF9AE}" pid="5" name="ComplianceAssetId">
    <vt:lpwstr/>
  </property>
  <property fmtid="{D5CDD505-2E9C-101B-9397-08002B2CF9AE}" pid="6" name="_activity">
    <vt:lpwstr>{"FileActivityType":"6","FileActivityTimeStamp":"2024-10-22T12:18:09.507Z","FileActivityUsersOnPage":[{"DisplayName":"Thomas, Sian","Id":"sm15575@cardiffmet.ac.uk"}],"FileActivityNavigationId":null}</vt:lpwstr>
  </property>
  <property fmtid="{D5CDD505-2E9C-101B-9397-08002B2CF9AE}" pid="7" name="_ExtendedDescription">
    <vt:lpwstr/>
  </property>
</Properties>
</file>