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3433" w14:textId="6D1607F6" w:rsidR="00CC25B1" w:rsidRDefault="00D9301C" w:rsidP="004A1086">
      <w:pPr>
        <w:pStyle w:val="Title"/>
        <w:spacing w:after="240"/>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013C5B16" w14:textId="77777777" w:rsidR="004A1086" w:rsidRPr="004A1086" w:rsidRDefault="004A1086" w:rsidP="004A1086"/>
    <w:p w14:paraId="4EE2EE4E" w14:textId="037F1212" w:rsidR="00E62C64" w:rsidRPr="00E62C64" w:rsidRDefault="00872EEE" w:rsidP="004A1086">
      <w:pPr>
        <w:pStyle w:val="Title"/>
        <w:spacing w:after="240"/>
        <w:jc w:val="center"/>
      </w:pPr>
      <w:r>
        <w:t>Prevent Policy</w:t>
      </w: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48913119">
        <w:trPr>
          <w:trHeight w:val="340"/>
        </w:trPr>
        <w:tc>
          <w:tcPr>
            <w:tcW w:w="4508" w:type="dxa"/>
            <w:vAlign w:val="center"/>
          </w:tcPr>
          <w:p w14:paraId="3075CBE1" w14:textId="287F5CE3" w:rsidR="005D0B18" w:rsidRPr="00FE2C3C" w:rsidRDefault="00424E11" w:rsidP="00417F2E">
            <w:pPr>
              <w:rPr>
                <w:rStyle w:val="SubtleEmphasis"/>
                <w:b/>
                <w:bCs/>
              </w:rPr>
            </w:pPr>
            <w:r w:rsidRPr="00FE2C3C">
              <w:rPr>
                <w:rStyle w:val="SubtleEmphasis"/>
                <w:b/>
                <w:bCs/>
              </w:rPr>
              <w:t>POLICY TITLE</w:t>
            </w:r>
          </w:p>
        </w:tc>
        <w:tc>
          <w:tcPr>
            <w:tcW w:w="4508" w:type="dxa"/>
            <w:vAlign w:val="center"/>
          </w:tcPr>
          <w:p w14:paraId="321B3FF2" w14:textId="4AE22F8B" w:rsidR="005D0B18" w:rsidRPr="00D9301C" w:rsidRDefault="00CC25B1" w:rsidP="00417F2E">
            <w:pPr>
              <w:rPr>
                <w:rStyle w:val="SubtleEmphasis"/>
              </w:rPr>
            </w:pPr>
            <w:r>
              <w:rPr>
                <w:rStyle w:val="SubtleEmphasis"/>
              </w:rPr>
              <w:t>Prevent Policy</w:t>
            </w:r>
          </w:p>
        </w:tc>
      </w:tr>
      <w:tr w:rsidR="00424E11" w:rsidRPr="00424E11" w14:paraId="0311DF9D" w14:textId="77777777" w:rsidTr="48913119">
        <w:trPr>
          <w:trHeight w:val="340"/>
        </w:trPr>
        <w:tc>
          <w:tcPr>
            <w:tcW w:w="4508" w:type="dxa"/>
            <w:vAlign w:val="center"/>
          </w:tcPr>
          <w:p w14:paraId="3920415A" w14:textId="6183A31E" w:rsidR="00424E11" w:rsidRPr="00FE2C3C" w:rsidRDefault="00424E11" w:rsidP="00417F2E">
            <w:pPr>
              <w:rPr>
                <w:rStyle w:val="SubtleEmphasis"/>
                <w:b/>
                <w:bCs/>
              </w:rPr>
            </w:pPr>
            <w:r w:rsidRPr="00FE2C3C">
              <w:rPr>
                <w:rStyle w:val="SubtleEmphasis"/>
                <w:b/>
                <w:bCs/>
              </w:rPr>
              <w:t>DATE APPROVED</w:t>
            </w:r>
          </w:p>
        </w:tc>
        <w:tc>
          <w:tcPr>
            <w:tcW w:w="4508" w:type="dxa"/>
            <w:vAlign w:val="center"/>
          </w:tcPr>
          <w:p w14:paraId="2577E17B" w14:textId="08895E68" w:rsidR="00424E11" w:rsidRPr="00D9301C" w:rsidRDefault="48913119" w:rsidP="48913119">
            <w:pPr>
              <w:rPr>
                <w:rStyle w:val="SubtleEmphasis"/>
              </w:rPr>
            </w:pPr>
            <w:r w:rsidRPr="48913119">
              <w:rPr>
                <w:rStyle w:val="SubtleEmphasis"/>
              </w:rPr>
              <w:t>21.10.21</w:t>
            </w:r>
          </w:p>
        </w:tc>
      </w:tr>
      <w:tr w:rsidR="00424E11" w:rsidRPr="00424E11" w14:paraId="4A73979F" w14:textId="77777777" w:rsidTr="48913119">
        <w:trPr>
          <w:trHeight w:val="340"/>
        </w:trPr>
        <w:tc>
          <w:tcPr>
            <w:tcW w:w="4508" w:type="dxa"/>
            <w:vAlign w:val="center"/>
          </w:tcPr>
          <w:p w14:paraId="5FBC38CA" w14:textId="6293BC2C" w:rsidR="00424E11" w:rsidRPr="00FE2C3C" w:rsidRDefault="00424E11" w:rsidP="00417F2E">
            <w:pPr>
              <w:rPr>
                <w:rStyle w:val="SubtleEmphasis"/>
                <w:b/>
                <w:bCs/>
              </w:rPr>
            </w:pPr>
            <w:r w:rsidRPr="00FE2C3C">
              <w:rPr>
                <w:rStyle w:val="SubtleEmphasis"/>
                <w:b/>
                <w:bCs/>
              </w:rPr>
              <w:t>APPROVING BODY</w:t>
            </w:r>
          </w:p>
        </w:tc>
        <w:tc>
          <w:tcPr>
            <w:tcW w:w="4508" w:type="dxa"/>
            <w:vAlign w:val="center"/>
          </w:tcPr>
          <w:p w14:paraId="52DB8469" w14:textId="13555349" w:rsidR="00424E11" w:rsidRPr="00D9301C" w:rsidRDefault="00CC25B1" w:rsidP="00417F2E">
            <w:pPr>
              <w:rPr>
                <w:rStyle w:val="SubtleEmphasis"/>
              </w:rPr>
            </w:pPr>
            <w:r>
              <w:rPr>
                <w:rStyle w:val="SubtleEmphasis"/>
              </w:rPr>
              <w:t>Prevent Duty Co-</w:t>
            </w:r>
            <w:r w:rsidR="008B3307">
              <w:rPr>
                <w:rStyle w:val="SubtleEmphasis"/>
              </w:rPr>
              <w:t>o</w:t>
            </w:r>
            <w:r>
              <w:rPr>
                <w:rStyle w:val="SubtleEmphasis"/>
              </w:rPr>
              <w:t>rdination Group</w:t>
            </w:r>
          </w:p>
        </w:tc>
      </w:tr>
      <w:tr w:rsidR="00424E11" w:rsidRPr="00424E11" w14:paraId="7130D26C" w14:textId="77777777" w:rsidTr="48913119">
        <w:trPr>
          <w:trHeight w:val="340"/>
        </w:trPr>
        <w:tc>
          <w:tcPr>
            <w:tcW w:w="4508" w:type="dxa"/>
            <w:vAlign w:val="center"/>
          </w:tcPr>
          <w:p w14:paraId="4F8C82AE" w14:textId="12457CE0" w:rsidR="00424E11" w:rsidRPr="00FE2C3C" w:rsidRDefault="00424E11" w:rsidP="00417F2E">
            <w:pPr>
              <w:rPr>
                <w:rStyle w:val="SubtleEmphasis"/>
                <w:b/>
                <w:bCs/>
              </w:rPr>
            </w:pPr>
            <w:r w:rsidRPr="00FE2C3C">
              <w:rPr>
                <w:rStyle w:val="SubtleEmphasis"/>
                <w:b/>
                <w:bCs/>
              </w:rPr>
              <w:t>VERSION</w:t>
            </w:r>
          </w:p>
        </w:tc>
        <w:tc>
          <w:tcPr>
            <w:tcW w:w="4508" w:type="dxa"/>
            <w:vAlign w:val="center"/>
          </w:tcPr>
          <w:p w14:paraId="5C7E37D5" w14:textId="69CB5608" w:rsidR="00424E11" w:rsidRPr="00D9301C" w:rsidRDefault="008051EB" w:rsidP="00417F2E">
            <w:pPr>
              <w:rPr>
                <w:rStyle w:val="SubtleEmphasis"/>
              </w:rPr>
            </w:pPr>
            <w:r>
              <w:rPr>
                <w:rStyle w:val="SubtleEmphasis"/>
              </w:rPr>
              <w:t>3.1</w:t>
            </w:r>
          </w:p>
        </w:tc>
      </w:tr>
      <w:tr w:rsidR="00424E11" w:rsidRPr="00424E11" w14:paraId="51E7BDE9" w14:textId="77777777" w:rsidTr="48913119">
        <w:trPr>
          <w:trHeight w:val="340"/>
        </w:trPr>
        <w:tc>
          <w:tcPr>
            <w:tcW w:w="4508" w:type="dxa"/>
            <w:vAlign w:val="center"/>
          </w:tcPr>
          <w:p w14:paraId="79057696" w14:textId="0439B555" w:rsidR="00424E11" w:rsidRPr="00FE2C3C" w:rsidRDefault="00424E11" w:rsidP="00417F2E">
            <w:pPr>
              <w:rPr>
                <w:rStyle w:val="SubtleEmphasis"/>
                <w:b/>
                <w:bCs/>
              </w:rPr>
            </w:pPr>
            <w:r w:rsidRPr="00FE2C3C">
              <w:rPr>
                <w:rStyle w:val="SubtleEmphasis"/>
                <w:b/>
                <w:bCs/>
              </w:rPr>
              <w:t>PREVIOUS REVIEW DATES</w:t>
            </w:r>
          </w:p>
        </w:tc>
        <w:tc>
          <w:tcPr>
            <w:tcW w:w="4508" w:type="dxa"/>
            <w:vAlign w:val="center"/>
          </w:tcPr>
          <w:p w14:paraId="61A35459" w14:textId="478BBFB6" w:rsidR="00424E11" w:rsidRPr="00D9301C" w:rsidRDefault="000F360F" w:rsidP="00417F2E">
            <w:pPr>
              <w:rPr>
                <w:rStyle w:val="SubtleEmphasis"/>
              </w:rPr>
            </w:pPr>
            <w:r>
              <w:rPr>
                <w:rStyle w:val="SubtleEmphasis"/>
              </w:rPr>
              <w:t>Octo</w:t>
            </w:r>
            <w:r w:rsidR="009E4FB1">
              <w:rPr>
                <w:rStyle w:val="SubtleEmphasis"/>
              </w:rPr>
              <w:t>ber 202</w:t>
            </w:r>
            <w:r w:rsidR="009F426A">
              <w:rPr>
                <w:rStyle w:val="SubtleEmphasis"/>
              </w:rPr>
              <w:t>0</w:t>
            </w:r>
          </w:p>
        </w:tc>
      </w:tr>
      <w:tr w:rsidR="00424E11" w:rsidRPr="00424E11" w14:paraId="317ADAD2" w14:textId="77777777" w:rsidTr="48913119">
        <w:trPr>
          <w:trHeight w:val="340"/>
        </w:trPr>
        <w:tc>
          <w:tcPr>
            <w:tcW w:w="4508" w:type="dxa"/>
            <w:vAlign w:val="center"/>
          </w:tcPr>
          <w:p w14:paraId="426D7CD8" w14:textId="336C24C3" w:rsidR="00424E11" w:rsidRPr="00FE2C3C" w:rsidRDefault="00424E11" w:rsidP="00417F2E">
            <w:pPr>
              <w:rPr>
                <w:rStyle w:val="SubtleEmphasis"/>
                <w:b/>
                <w:bCs/>
              </w:rPr>
            </w:pPr>
            <w:r w:rsidRPr="00FE2C3C">
              <w:rPr>
                <w:rStyle w:val="SubtleEmphasis"/>
                <w:b/>
                <w:bCs/>
              </w:rPr>
              <w:t>NEXT REVIEW DATE</w:t>
            </w:r>
          </w:p>
        </w:tc>
        <w:tc>
          <w:tcPr>
            <w:tcW w:w="4508" w:type="dxa"/>
            <w:vAlign w:val="center"/>
          </w:tcPr>
          <w:p w14:paraId="7D5B4534" w14:textId="5E0BF70C" w:rsidR="00424E11" w:rsidRPr="00D9301C" w:rsidRDefault="003B522D" w:rsidP="00417F2E">
            <w:pPr>
              <w:rPr>
                <w:rStyle w:val="SubtleEmphasis"/>
              </w:rPr>
            </w:pPr>
            <w:r>
              <w:rPr>
                <w:rStyle w:val="SubtleEmphasis"/>
              </w:rPr>
              <w:t xml:space="preserve">Academic Year </w:t>
            </w:r>
            <w:r w:rsidR="009F426A">
              <w:rPr>
                <w:rStyle w:val="SubtleEmphasis"/>
              </w:rPr>
              <w:t>2024/25</w:t>
            </w:r>
          </w:p>
        </w:tc>
      </w:tr>
      <w:tr w:rsidR="00424E11" w:rsidRPr="00424E11" w14:paraId="75C9C866" w14:textId="77777777" w:rsidTr="48913119">
        <w:trPr>
          <w:trHeight w:val="340"/>
        </w:trPr>
        <w:tc>
          <w:tcPr>
            <w:tcW w:w="4508" w:type="dxa"/>
            <w:vAlign w:val="center"/>
          </w:tcPr>
          <w:p w14:paraId="512978BD" w14:textId="4A2A77CC" w:rsidR="00424E11" w:rsidRPr="00FE2C3C" w:rsidRDefault="00424E11" w:rsidP="00417F2E">
            <w:pPr>
              <w:rPr>
                <w:rStyle w:val="SubtleEmphasis"/>
                <w:b/>
                <w:bCs/>
              </w:rPr>
            </w:pPr>
            <w:r w:rsidRPr="5E802755">
              <w:rPr>
                <w:rStyle w:val="SubtleEmphasis"/>
                <w:b/>
                <w:bCs/>
              </w:rPr>
              <w:t>OUTCOME OF EQUALITY IMPACT ASSESSMENT</w:t>
            </w:r>
          </w:p>
        </w:tc>
        <w:tc>
          <w:tcPr>
            <w:tcW w:w="4508" w:type="dxa"/>
            <w:vAlign w:val="center"/>
          </w:tcPr>
          <w:p w14:paraId="3F09CB51" w14:textId="166E36F1" w:rsidR="009F426A" w:rsidRPr="00375457" w:rsidRDefault="00DC2F2F" w:rsidP="00417F2E">
            <w:pPr>
              <w:rPr>
                <w:rStyle w:val="SubtleEmphasis"/>
                <w:szCs w:val="24"/>
              </w:rPr>
            </w:pPr>
            <w:r>
              <w:rPr>
                <w:i/>
                <w:iCs/>
                <w:color w:val="404040" w:themeColor="text1" w:themeTint="BF"/>
                <w:szCs w:val="24"/>
              </w:rPr>
              <w:t xml:space="preserve">No change – the </w:t>
            </w:r>
            <w:r w:rsidR="00A1696C">
              <w:rPr>
                <w:i/>
                <w:iCs/>
                <w:color w:val="404040" w:themeColor="text1" w:themeTint="BF"/>
                <w:szCs w:val="24"/>
              </w:rPr>
              <w:t>2020 EIA has been reviewed and identified mitigating actions</w:t>
            </w:r>
            <w:r w:rsidR="00413A51">
              <w:rPr>
                <w:i/>
                <w:iCs/>
                <w:color w:val="404040" w:themeColor="text1" w:themeTint="BF"/>
                <w:szCs w:val="24"/>
              </w:rPr>
              <w:t xml:space="preserve"> at that time</w:t>
            </w:r>
            <w:r w:rsidR="00A1696C">
              <w:rPr>
                <w:i/>
                <w:iCs/>
                <w:color w:val="404040" w:themeColor="text1" w:themeTint="BF"/>
                <w:szCs w:val="24"/>
              </w:rPr>
              <w:t xml:space="preserve"> have been done or are in hand.</w:t>
            </w:r>
            <w:r w:rsidR="00413A51">
              <w:rPr>
                <w:i/>
                <w:iCs/>
                <w:color w:val="404040" w:themeColor="text1" w:themeTint="BF"/>
                <w:szCs w:val="24"/>
              </w:rPr>
              <w:t xml:space="preserve"> No significant change to the Policy has been made</w:t>
            </w:r>
            <w:r w:rsidR="00251583">
              <w:rPr>
                <w:i/>
                <w:iCs/>
                <w:color w:val="404040" w:themeColor="text1" w:themeTint="BF"/>
                <w:szCs w:val="24"/>
              </w:rPr>
              <w:t xml:space="preserve"> </w:t>
            </w:r>
            <w:r w:rsidR="00F31DCB" w:rsidRPr="00251583">
              <w:rPr>
                <w:i/>
                <w:iCs/>
                <w:szCs w:val="24"/>
              </w:rPr>
              <w:t>so no fresh EIA has been produced.</w:t>
            </w:r>
          </w:p>
        </w:tc>
      </w:tr>
      <w:tr w:rsidR="00424E11" w:rsidRPr="00424E11" w14:paraId="3089C9C7" w14:textId="77777777" w:rsidTr="48913119">
        <w:trPr>
          <w:trHeight w:val="340"/>
        </w:trPr>
        <w:tc>
          <w:tcPr>
            <w:tcW w:w="4508" w:type="dxa"/>
            <w:vAlign w:val="center"/>
          </w:tcPr>
          <w:p w14:paraId="5919F96C" w14:textId="4A73054B" w:rsidR="00424E11" w:rsidRPr="00FE2C3C" w:rsidRDefault="00424E11" w:rsidP="00417F2E">
            <w:pPr>
              <w:rPr>
                <w:rStyle w:val="SubtleEmphasis"/>
                <w:b/>
                <w:bCs/>
              </w:rPr>
            </w:pPr>
            <w:r w:rsidRPr="00FE2C3C">
              <w:rPr>
                <w:rStyle w:val="SubtleEmphasis"/>
                <w:b/>
                <w:bCs/>
              </w:rPr>
              <w:t>RELATED POLICIES / PROCEDURES / GUIDANCE</w:t>
            </w:r>
          </w:p>
        </w:tc>
        <w:tc>
          <w:tcPr>
            <w:tcW w:w="4508" w:type="dxa"/>
            <w:vAlign w:val="center"/>
          </w:tcPr>
          <w:p w14:paraId="6F283145" w14:textId="77777777" w:rsidR="00424E11" w:rsidRDefault="009F426A" w:rsidP="00417F2E">
            <w:pPr>
              <w:pStyle w:val="ListParagraph"/>
              <w:numPr>
                <w:ilvl w:val="0"/>
                <w:numId w:val="23"/>
              </w:numPr>
              <w:ind w:left="343" w:hanging="284"/>
              <w:rPr>
                <w:rStyle w:val="SubtleEmphasis"/>
              </w:rPr>
            </w:pPr>
            <w:r>
              <w:rPr>
                <w:rStyle w:val="SubtleEmphasis"/>
              </w:rPr>
              <w:t>Code of Practice on Freedom of Speech</w:t>
            </w:r>
          </w:p>
          <w:p w14:paraId="5482948D" w14:textId="5FD13345" w:rsidR="00410570" w:rsidRPr="00D9301C" w:rsidRDefault="009F426A" w:rsidP="00417F2E">
            <w:pPr>
              <w:pStyle w:val="ListParagraph"/>
              <w:numPr>
                <w:ilvl w:val="0"/>
                <w:numId w:val="23"/>
              </w:numPr>
              <w:ind w:left="343" w:hanging="284"/>
              <w:rPr>
                <w:rStyle w:val="SubtleEmphasis"/>
              </w:rPr>
            </w:pPr>
            <w:r>
              <w:rPr>
                <w:rStyle w:val="SubtleEmphasis"/>
              </w:rPr>
              <w:t>Equality, Diversity and Inclusion Policy</w:t>
            </w:r>
          </w:p>
        </w:tc>
      </w:tr>
      <w:tr w:rsidR="00424E11" w:rsidRPr="00424E11" w14:paraId="7A2B0B2D" w14:textId="77777777" w:rsidTr="48913119">
        <w:trPr>
          <w:trHeight w:val="340"/>
        </w:trPr>
        <w:tc>
          <w:tcPr>
            <w:tcW w:w="4508" w:type="dxa"/>
            <w:vAlign w:val="center"/>
          </w:tcPr>
          <w:p w14:paraId="60927075" w14:textId="20EC9DA6" w:rsidR="00424E11" w:rsidRPr="00FE2C3C" w:rsidRDefault="00424E11" w:rsidP="00417F2E">
            <w:pPr>
              <w:rPr>
                <w:rStyle w:val="SubtleEmphasis"/>
                <w:b/>
                <w:bCs/>
              </w:rPr>
            </w:pPr>
            <w:r w:rsidRPr="00FE2C3C">
              <w:rPr>
                <w:rStyle w:val="SubtleEmphasis"/>
                <w:b/>
                <w:bCs/>
              </w:rPr>
              <w:t>IMPLEMENTATION DATE</w:t>
            </w:r>
          </w:p>
        </w:tc>
        <w:tc>
          <w:tcPr>
            <w:tcW w:w="4508" w:type="dxa"/>
            <w:vAlign w:val="center"/>
          </w:tcPr>
          <w:p w14:paraId="6CF12526" w14:textId="0D1C2A21" w:rsidR="00424E11" w:rsidRPr="00D9301C" w:rsidRDefault="009F426A" w:rsidP="00417F2E">
            <w:pPr>
              <w:rPr>
                <w:rStyle w:val="SubtleEmphasis"/>
              </w:rPr>
            </w:pPr>
            <w:r>
              <w:rPr>
                <w:rStyle w:val="SubtleEmphasis"/>
              </w:rPr>
              <w:t>Immediate</w:t>
            </w:r>
          </w:p>
        </w:tc>
      </w:tr>
      <w:tr w:rsidR="00424E11" w:rsidRPr="00424E11" w14:paraId="31B148B0" w14:textId="77777777" w:rsidTr="48913119">
        <w:trPr>
          <w:trHeight w:val="340"/>
        </w:trPr>
        <w:tc>
          <w:tcPr>
            <w:tcW w:w="4508" w:type="dxa"/>
            <w:vAlign w:val="center"/>
          </w:tcPr>
          <w:p w14:paraId="20FB7C39" w14:textId="3A36609A" w:rsidR="00424E11" w:rsidRPr="00FE2C3C" w:rsidRDefault="00424E11" w:rsidP="00417F2E">
            <w:pPr>
              <w:rPr>
                <w:rStyle w:val="SubtleEmphasis"/>
                <w:b/>
                <w:bCs/>
              </w:rPr>
            </w:pPr>
            <w:r w:rsidRPr="00FE2C3C">
              <w:rPr>
                <w:rStyle w:val="SubtleEmphasis"/>
                <w:b/>
                <w:bCs/>
              </w:rPr>
              <w:t>POLICY OWNER (JOB TITLE)</w:t>
            </w:r>
          </w:p>
        </w:tc>
        <w:tc>
          <w:tcPr>
            <w:tcW w:w="4508" w:type="dxa"/>
            <w:vAlign w:val="center"/>
          </w:tcPr>
          <w:p w14:paraId="6AD96980" w14:textId="03416DC0" w:rsidR="00424E11" w:rsidRPr="00D9301C" w:rsidRDefault="009F426A" w:rsidP="00417F2E">
            <w:pPr>
              <w:rPr>
                <w:rStyle w:val="SubtleEmphasis"/>
              </w:rPr>
            </w:pPr>
            <w:r>
              <w:rPr>
                <w:rStyle w:val="SubtleEmphasis"/>
              </w:rPr>
              <w:t>Head of Compliance</w:t>
            </w:r>
          </w:p>
        </w:tc>
      </w:tr>
      <w:tr w:rsidR="00424E11" w:rsidRPr="00424E11" w14:paraId="1A728E75" w14:textId="77777777" w:rsidTr="48913119">
        <w:trPr>
          <w:trHeight w:val="340"/>
        </w:trPr>
        <w:tc>
          <w:tcPr>
            <w:tcW w:w="4508" w:type="dxa"/>
            <w:vAlign w:val="center"/>
          </w:tcPr>
          <w:p w14:paraId="3DD4BEC4" w14:textId="45A12D92" w:rsidR="00424E11" w:rsidRPr="00FE2C3C" w:rsidRDefault="00424E11" w:rsidP="00417F2E">
            <w:pPr>
              <w:rPr>
                <w:rStyle w:val="SubtleEmphasis"/>
                <w:b/>
                <w:bCs/>
              </w:rPr>
            </w:pPr>
            <w:r w:rsidRPr="00FE2C3C">
              <w:rPr>
                <w:rStyle w:val="SubtleEmphasis"/>
                <w:b/>
                <w:bCs/>
              </w:rPr>
              <w:t>UNIT / SERVICE</w:t>
            </w:r>
          </w:p>
        </w:tc>
        <w:tc>
          <w:tcPr>
            <w:tcW w:w="4508" w:type="dxa"/>
            <w:vAlign w:val="center"/>
          </w:tcPr>
          <w:p w14:paraId="25A73394" w14:textId="5DE10930" w:rsidR="00424E11" w:rsidRPr="00D9301C" w:rsidRDefault="009F426A" w:rsidP="00417F2E">
            <w:pPr>
              <w:rPr>
                <w:rStyle w:val="SubtleEmphasis"/>
              </w:rPr>
            </w:pPr>
            <w:r>
              <w:rPr>
                <w:rStyle w:val="SubtleEmphasis"/>
              </w:rPr>
              <w:t>Secretariat</w:t>
            </w:r>
          </w:p>
        </w:tc>
      </w:tr>
      <w:tr w:rsidR="00424E11" w:rsidRPr="00424E11" w14:paraId="5EC8AF95" w14:textId="77777777" w:rsidTr="48913119">
        <w:trPr>
          <w:trHeight w:val="340"/>
        </w:trPr>
        <w:tc>
          <w:tcPr>
            <w:tcW w:w="4508" w:type="dxa"/>
            <w:vAlign w:val="center"/>
          </w:tcPr>
          <w:p w14:paraId="587C7980" w14:textId="5C63E271" w:rsidR="00424E11" w:rsidRPr="00FE2C3C" w:rsidRDefault="00424E11" w:rsidP="00417F2E">
            <w:pPr>
              <w:rPr>
                <w:rStyle w:val="SubtleEmphasis"/>
                <w:b/>
                <w:bCs/>
              </w:rPr>
            </w:pPr>
            <w:r w:rsidRPr="00FE2C3C">
              <w:rPr>
                <w:rStyle w:val="SubtleEmphasis"/>
                <w:b/>
                <w:bCs/>
              </w:rPr>
              <w:t>CONTACT EMAIL</w:t>
            </w:r>
          </w:p>
        </w:tc>
        <w:tc>
          <w:tcPr>
            <w:tcW w:w="4508" w:type="dxa"/>
            <w:vAlign w:val="center"/>
          </w:tcPr>
          <w:p w14:paraId="3A4E0954" w14:textId="0A0336A2" w:rsidR="00424E11" w:rsidRPr="00D9301C" w:rsidRDefault="009F426A" w:rsidP="00417F2E">
            <w:pPr>
              <w:rPr>
                <w:rStyle w:val="SubtleEmphasis"/>
              </w:rPr>
            </w:pPr>
            <w:r>
              <w:rPr>
                <w:rStyle w:val="SubtleEmphasis"/>
              </w:rPr>
              <w:t>safeguard</w:t>
            </w:r>
            <w:r w:rsidR="004F3F03" w:rsidRPr="00D9301C">
              <w:rPr>
                <w:rStyle w:val="SubtleEmphasis"/>
              </w:rPr>
              <w:t>@cardiffmet.ac.uk</w:t>
            </w:r>
          </w:p>
        </w:tc>
      </w:tr>
    </w:tbl>
    <w:p w14:paraId="34FF043D" w14:textId="115BE5C9" w:rsidR="0098001E" w:rsidRDefault="00EE23DF" w:rsidP="00375457">
      <w:pPr>
        <w:spacing w:after="240" w:line="240" w:lineRule="auto"/>
        <w:rPr>
          <w:rStyle w:val="SubtleEmphasis"/>
        </w:rPr>
      </w:pPr>
      <w:r>
        <w:rPr>
          <w:rStyle w:val="SubtleEmphasis"/>
        </w:rPr>
        <w:t xml:space="preserve"> </w:t>
      </w:r>
    </w:p>
    <w:p w14:paraId="26422EA8" w14:textId="022DB306" w:rsidR="00E62C64" w:rsidRDefault="00E62C64" w:rsidP="00375457">
      <w:pPr>
        <w:pStyle w:val="Heading1"/>
        <w:numPr>
          <w:ilvl w:val="0"/>
          <w:numId w:val="0"/>
        </w:numPr>
        <w:spacing w:before="0" w:after="240" w:line="240" w:lineRule="auto"/>
        <w:ind w:left="431" w:hanging="431"/>
      </w:pPr>
      <w:bookmarkStart w:id="0" w:name="_Toc82757109"/>
      <w:r>
        <w:t>Version Control</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955DEAD">
        <w:tc>
          <w:tcPr>
            <w:tcW w:w="3005" w:type="dxa"/>
          </w:tcPr>
          <w:p w14:paraId="28350F56" w14:textId="43690AD4" w:rsidR="00376449" w:rsidRPr="00CD441C" w:rsidRDefault="00CD441C" w:rsidP="00417F2E">
            <w:pPr>
              <w:rPr>
                <w:rStyle w:val="SubtleEmphasis"/>
                <w:b/>
                <w:bCs/>
              </w:rPr>
            </w:pPr>
            <w:bookmarkStart w:id="1" w:name="_Toc73712006"/>
            <w:bookmarkStart w:id="2" w:name="_Toc73711702"/>
            <w:bookmarkStart w:id="3" w:name="_Toc73711327"/>
            <w:r w:rsidRPr="00CD441C">
              <w:rPr>
                <w:rStyle w:val="SubtleEmphasis"/>
                <w:b/>
                <w:bCs/>
              </w:rPr>
              <w:t>VERSION</w:t>
            </w:r>
          </w:p>
        </w:tc>
        <w:tc>
          <w:tcPr>
            <w:tcW w:w="3005" w:type="dxa"/>
          </w:tcPr>
          <w:p w14:paraId="169A1FC0" w14:textId="5CA16DC6" w:rsidR="00376449" w:rsidRPr="00CD441C" w:rsidRDefault="00CD441C" w:rsidP="00417F2E">
            <w:pPr>
              <w:rPr>
                <w:rStyle w:val="SubtleEmphasis"/>
                <w:b/>
                <w:bCs/>
              </w:rPr>
            </w:pPr>
            <w:r w:rsidRPr="00CD441C">
              <w:rPr>
                <w:rStyle w:val="SubtleEmphasis"/>
                <w:b/>
                <w:bCs/>
              </w:rPr>
              <w:t>DATE</w:t>
            </w:r>
          </w:p>
        </w:tc>
        <w:tc>
          <w:tcPr>
            <w:tcW w:w="3006" w:type="dxa"/>
          </w:tcPr>
          <w:p w14:paraId="31C0C37F" w14:textId="385AE5AC" w:rsidR="00376449" w:rsidRPr="00CD441C" w:rsidRDefault="00CD441C" w:rsidP="00417F2E">
            <w:pPr>
              <w:rPr>
                <w:rStyle w:val="SubtleEmphasis"/>
                <w:b/>
                <w:bCs/>
              </w:rPr>
            </w:pPr>
            <w:r w:rsidRPr="00CD441C">
              <w:rPr>
                <w:rStyle w:val="SubtleEmphasis"/>
                <w:b/>
                <w:bCs/>
              </w:rPr>
              <w:t>REASON FOR CHANGE</w:t>
            </w:r>
          </w:p>
        </w:tc>
      </w:tr>
      <w:tr w:rsidR="00CD441C" w14:paraId="53D8C905" w14:textId="77777777" w:rsidTr="0955DEAD">
        <w:tc>
          <w:tcPr>
            <w:tcW w:w="3005" w:type="dxa"/>
          </w:tcPr>
          <w:p w14:paraId="2890E994" w14:textId="17543254" w:rsidR="00CD441C" w:rsidRDefault="00CD441C" w:rsidP="00417F2E">
            <w:pPr>
              <w:rPr>
                <w:rStyle w:val="SubtleEmphasis"/>
              </w:rPr>
            </w:pPr>
            <w:r>
              <w:rPr>
                <w:rStyle w:val="SubtleEmphasis"/>
              </w:rPr>
              <w:t>3.0</w:t>
            </w:r>
          </w:p>
        </w:tc>
        <w:tc>
          <w:tcPr>
            <w:tcW w:w="3005" w:type="dxa"/>
          </w:tcPr>
          <w:p w14:paraId="5A5DA4F7" w14:textId="73A71E31" w:rsidR="00CD441C" w:rsidRPr="00CD441C" w:rsidRDefault="000F360F" w:rsidP="00417F2E">
            <w:pPr>
              <w:rPr>
                <w:rStyle w:val="SubtleEmphasis"/>
              </w:rPr>
            </w:pPr>
            <w:r>
              <w:rPr>
                <w:rStyle w:val="SubtleEmphasis"/>
              </w:rPr>
              <w:t>October 2020</w:t>
            </w:r>
          </w:p>
        </w:tc>
        <w:tc>
          <w:tcPr>
            <w:tcW w:w="3006" w:type="dxa"/>
          </w:tcPr>
          <w:p w14:paraId="558E6C2C" w14:textId="70343B22" w:rsidR="00CD441C" w:rsidRPr="00CD441C" w:rsidRDefault="000F360F" w:rsidP="00417F2E">
            <w:pPr>
              <w:rPr>
                <w:rStyle w:val="SubtleEmphasis"/>
              </w:rPr>
            </w:pPr>
            <w:r>
              <w:rPr>
                <w:rStyle w:val="SubtleEmphasis"/>
              </w:rPr>
              <w:t>Significant</w:t>
            </w:r>
            <w:r w:rsidR="00BE2084">
              <w:rPr>
                <w:rStyle w:val="SubtleEmphasis"/>
              </w:rPr>
              <w:t xml:space="preserve"> re-write due to organi</w:t>
            </w:r>
            <w:r w:rsidR="008051EB">
              <w:rPr>
                <w:rStyle w:val="SubtleEmphasis"/>
              </w:rPr>
              <w:t>sational change and changes to the terror threat</w:t>
            </w:r>
          </w:p>
        </w:tc>
      </w:tr>
      <w:tr w:rsidR="00702D09" w14:paraId="53380C77" w14:textId="77777777" w:rsidTr="0955DEAD">
        <w:tc>
          <w:tcPr>
            <w:tcW w:w="3005" w:type="dxa"/>
          </w:tcPr>
          <w:p w14:paraId="57937FBA" w14:textId="2DACA756" w:rsidR="00702D09" w:rsidRDefault="008051EB" w:rsidP="00417F2E">
            <w:pPr>
              <w:rPr>
                <w:rStyle w:val="SubtleEmphasis"/>
              </w:rPr>
            </w:pPr>
            <w:r>
              <w:rPr>
                <w:rStyle w:val="SubtleEmphasis"/>
              </w:rPr>
              <w:t>3.1</w:t>
            </w:r>
          </w:p>
        </w:tc>
        <w:tc>
          <w:tcPr>
            <w:tcW w:w="3005" w:type="dxa"/>
          </w:tcPr>
          <w:p w14:paraId="5097F0DD" w14:textId="512CB7D0" w:rsidR="00702D09" w:rsidRDefault="008211DB" w:rsidP="00417F2E">
            <w:pPr>
              <w:rPr>
                <w:rStyle w:val="SubtleEmphasis"/>
              </w:rPr>
            </w:pPr>
            <w:r>
              <w:rPr>
                <w:rStyle w:val="SubtleEmphasis"/>
              </w:rPr>
              <w:t>October 2021</w:t>
            </w:r>
          </w:p>
        </w:tc>
        <w:tc>
          <w:tcPr>
            <w:tcW w:w="3006" w:type="dxa"/>
          </w:tcPr>
          <w:p w14:paraId="70003682" w14:textId="4189A1C3" w:rsidR="00702D09" w:rsidRDefault="0955DEAD" w:rsidP="0955DEAD">
            <w:pPr>
              <w:rPr>
                <w:rStyle w:val="SubtleEmphasis"/>
              </w:rPr>
            </w:pPr>
            <w:r w:rsidRPr="0955DEAD">
              <w:rPr>
                <w:rStyle w:val="SubtleEmphasis"/>
              </w:rPr>
              <w:t>Light-touch review after one year - changes made to use new policy template and clarification provided at 6.4</w:t>
            </w:r>
          </w:p>
        </w:tc>
      </w:tr>
    </w:tbl>
    <w:bookmarkEnd w:id="3" w:displacedByCustomXml="next"/>
    <w:bookmarkEnd w:id="2" w:displacedByCustomXml="next"/>
    <w:bookmarkEnd w:id="1" w:displacedByCustomXml="next"/>
    <w:sdt>
      <w:sdtPr>
        <w:rPr>
          <w:rFonts w:asciiTheme="minorHAnsi" w:eastAsiaTheme="minorHAnsi" w:hAnsiTheme="minorHAnsi" w:cstheme="minorBidi"/>
          <w:color w:val="auto"/>
          <w:sz w:val="22"/>
          <w:szCs w:val="22"/>
          <w:lang w:val="en-GB"/>
        </w:rPr>
        <w:id w:val="869342007"/>
        <w:docPartObj>
          <w:docPartGallery w:val="Table of Contents"/>
          <w:docPartUnique/>
        </w:docPartObj>
      </w:sdtPr>
      <w:sdtEndPr>
        <w:rPr>
          <w:rFonts w:ascii="Arial" w:hAnsi="Arial"/>
          <w:b/>
          <w:bCs/>
          <w:noProof/>
          <w:color w:val="222A35" w:themeColor="text2" w:themeShade="80"/>
          <w:sz w:val="24"/>
        </w:rPr>
      </w:sdtEndPr>
      <w:sdtContent>
        <w:p w14:paraId="101F3514" w14:textId="77777777" w:rsidR="005C342A" w:rsidRDefault="005C342A" w:rsidP="005C342A">
          <w:pPr>
            <w:pStyle w:val="TOCHeading"/>
          </w:pPr>
          <w:r>
            <w:t>Contents</w:t>
          </w:r>
        </w:p>
        <w:p w14:paraId="3C596602" w14:textId="6E02A430" w:rsidR="005C342A" w:rsidRDefault="005C342A" w:rsidP="007D1E1E">
          <w:pPr>
            <w:pStyle w:val="TOC1"/>
            <w:rPr>
              <w:rFonts w:asciiTheme="minorHAnsi" w:eastAsiaTheme="minorEastAsia" w:hAnsiTheme="minorHAnsi"/>
              <w:noProof/>
              <w:color w:val="auto"/>
              <w:sz w:val="22"/>
              <w:lang w:eastAsia="en-GB"/>
            </w:rPr>
          </w:pPr>
          <w:r w:rsidRPr="00A10647">
            <w:lastRenderedPageBreak/>
            <w:fldChar w:fldCharType="begin"/>
          </w:r>
          <w:r w:rsidRPr="00A10647">
            <w:instrText xml:space="preserve"> TOC \o "1-1" \h \z \u </w:instrText>
          </w:r>
          <w:r w:rsidRPr="00A10647">
            <w:fldChar w:fldCharType="separate"/>
          </w:r>
        </w:p>
        <w:p w14:paraId="4CAB2B93" w14:textId="7DEC7827" w:rsidR="005C342A" w:rsidRDefault="000278B4" w:rsidP="007D1E1E">
          <w:pPr>
            <w:pStyle w:val="TOC1"/>
            <w:rPr>
              <w:rFonts w:asciiTheme="minorHAnsi" w:eastAsiaTheme="minorEastAsia" w:hAnsiTheme="minorHAnsi"/>
              <w:noProof/>
              <w:color w:val="auto"/>
              <w:sz w:val="22"/>
              <w:lang w:eastAsia="en-GB"/>
            </w:rPr>
          </w:pPr>
          <w:hyperlink w:anchor="_Toc82757110" w:history="1">
            <w:r w:rsidR="005C342A" w:rsidRPr="00CD22C6">
              <w:rPr>
                <w:rStyle w:val="Hyperlink"/>
                <w:rFonts w:asciiTheme="majorHAnsi" w:hAnsiTheme="majorHAnsi"/>
                <w:noProof/>
              </w:rPr>
              <w:t>1</w:t>
            </w:r>
            <w:r w:rsidR="005C342A">
              <w:rPr>
                <w:rFonts w:asciiTheme="minorHAnsi" w:eastAsiaTheme="minorEastAsia" w:hAnsiTheme="minorHAnsi"/>
                <w:noProof/>
                <w:color w:val="auto"/>
                <w:sz w:val="22"/>
                <w:lang w:eastAsia="en-GB"/>
              </w:rPr>
              <w:tab/>
            </w:r>
            <w:r w:rsidR="005C342A" w:rsidRPr="00CD22C6">
              <w:rPr>
                <w:rStyle w:val="Hyperlink"/>
                <w:noProof/>
              </w:rPr>
              <w:t>Introduction</w:t>
            </w:r>
            <w:r w:rsidR="005C342A">
              <w:rPr>
                <w:noProof/>
                <w:webHidden/>
              </w:rPr>
              <w:tab/>
            </w:r>
            <w:r w:rsidR="005C342A">
              <w:rPr>
                <w:noProof/>
                <w:webHidden/>
              </w:rPr>
              <w:fldChar w:fldCharType="begin"/>
            </w:r>
            <w:r w:rsidR="005C342A">
              <w:rPr>
                <w:noProof/>
                <w:webHidden/>
              </w:rPr>
              <w:instrText xml:space="preserve"> PAGEREF _Toc82757110 \h </w:instrText>
            </w:r>
            <w:r w:rsidR="005C342A">
              <w:rPr>
                <w:noProof/>
                <w:webHidden/>
              </w:rPr>
            </w:r>
            <w:r w:rsidR="005C342A">
              <w:rPr>
                <w:noProof/>
                <w:webHidden/>
              </w:rPr>
              <w:fldChar w:fldCharType="separate"/>
            </w:r>
            <w:r w:rsidR="005C342A">
              <w:rPr>
                <w:noProof/>
                <w:webHidden/>
              </w:rPr>
              <w:t>4</w:t>
            </w:r>
            <w:r w:rsidR="005C342A">
              <w:rPr>
                <w:noProof/>
                <w:webHidden/>
              </w:rPr>
              <w:fldChar w:fldCharType="end"/>
            </w:r>
          </w:hyperlink>
        </w:p>
        <w:p w14:paraId="5DB37FDE" w14:textId="1EF07D3C" w:rsidR="005C342A" w:rsidRDefault="000278B4" w:rsidP="007D1E1E">
          <w:pPr>
            <w:pStyle w:val="TOC1"/>
            <w:rPr>
              <w:rFonts w:asciiTheme="minorHAnsi" w:eastAsiaTheme="minorEastAsia" w:hAnsiTheme="minorHAnsi"/>
              <w:noProof/>
              <w:color w:val="auto"/>
              <w:sz w:val="22"/>
              <w:lang w:eastAsia="en-GB"/>
            </w:rPr>
          </w:pPr>
          <w:hyperlink w:anchor="_Toc82757111" w:history="1">
            <w:r w:rsidR="005C342A" w:rsidRPr="00CD22C6">
              <w:rPr>
                <w:rStyle w:val="Hyperlink"/>
                <w:rFonts w:asciiTheme="majorHAnsi" w:hAnsiTheme="majorHAnsi"/>
                <w:noProof/>
              </w:rPr>
              <w:t>2</w:t>
            </w:r>
            <w:r w:rsidR="005C342A">
              <w:rPr>
                <w:rFonts w:asciiTheme="minorHAnsi" w:eastAsiaTheme="minorEastAsia" w:hAnsiTheme="minorHAnsi"/>
                <w:noProof/>
                <w:color w:val="auto"/>
                <w:sz w:val="22"/>
                <w:lang w:eastAsia="en-GB"/>
              </w:rPr>
              <w:tab/>
            </w:r>
            <w:r w:rsidR="005C342A" w:rsidRPr="00CD22C6">
              <w:rPr>
                <w:rStyle w:val="Hyperlink"/>
                <w:noProof/>
              </w:rPr>
              <w:t>Principles of Operation</w:t>
            </w:r>
            <w:r w:rsidR="005C342A">
              <w:rPr>
                <w:noProof/>
                <w:webHidden/>
              </w:rPr>
              <w:tab/>
            </w:r>
            <w:r w:rsidR="005C342A">
              <w:rPr>
                <w:noProof/>
                <w:webHidden/>
              </w:rPr>
              <w:fldChar w:fldCharType="begin"/>
            </w:r>
            <w:r w:rsidR="005C342A">
              <w:rPr>
                <w:noProof/>
                <w:webHidden/>
              </w:rPr>
              <w:instrText xml:space="preserve"> PAGEREF _Toc82757111 \h </w:instrText>
            </w:r>
            <w:r w:rsidR="005C342A">
              <w:rPr>
                <w:noProof/>
                <w:webHidden/>
              </w:rPr>
            </w:r>
            <w:r w:rsidR="005C342A">
              <w:rPr>
                <w:noProof/>
                <w:webHidden/>
              </w:rPr>
              <w:fldChar w:fldCharType="separate"/>
            </w:r>
            <w:r w:rsidR="005C342A">
              <w:rPr>
                <w:noProof/>
                <w:webHidden/>
              </w:rPr>
              <w:t>4</w:t>
            </w:r>
            <w:r w:rsidR="005C342A">
              <w:rPr>
                <w:noProof/>
                <w:webHidden/>
              </w:rPr>
              <w:fldChar w:fldCharType="end"/>
            </w:r>
          </w:hyperlink>
        </w:p>
        <w:p w14:paraId="4A3D3CD7" w14:textId="022E72B3" w:rsidR="005C342A" w:rsidRDefault="000278B4" w:rsidP="007D1E1E">
          <w:pPr>
            <w:pStyle w:val="TOC1"/>
            <w:rPr>
              <w:rFonts w:asciiTheme="minorHAnsi" w:eastAsiaTheme="minorEastAsia" w:hAnsiTheme="minorHAnsi"/>
              <w:noProof/>
              <w:color w:val="auto"/>
              <w:sz w:val="22"/>
              <w:lang w:eastAsia="en-GB"/>
            </w:rPr>
          </w:pPr>
          <w:hyperlink w:anchor="_Toc82757112" w:history="1">
            <w:r w:rsidR="005C342A" w:rsidRPr="00CD22C6">
              <w:rPr>
                <w:rStyle w:val="Hyperlink"/>
                <w:rFonts w:asciiTheme="majorHAnsi" w:hAnsiTheme="majorHAnsi"/>
                <w:noProof/>
              </w:rPr>
              <w:t>3</w:t>
            </w:r>
            <w:r w:rsidR="005C342A">
              <w:rPr>
                <w:rFonts w:asciiTheme="minorHAnsi" w:eastAsiaTheme="minorEastAsia" w:hAnsiTheme="minorHAnsi"/>
                <w:noProof/>
                <w:color w:val="auto"/>
                <w:sz w:val="22"/>
                <w:lang w:eastAsia="en-GB"/>
              </w:rPr>
              <w:tab/>
            </w:r>
            <w:r w:rsidR="005C342A" w:rsidRPr="00CD22C6">
              <w:rPr>
                <w:rStyle w:val="Hyperlink"/>
                <w:noProof/>
              </w:rPr>
              <w:t>Roles and Responsibilities</w:t>
            </w:r>
            <w:r w:rsidR="005C342A">
              <w:rPr>
                <w:noProof/>
                <w:webHidden/>
              </w:rPr>
              <w:tab/>
            </w:r>
            <w:r w:rsidR="005C342A">
              <w:rPr>
                <w:noProof/>
                <w:webHidden/>
              </w:rPr>
              <w:fldChar w:fldCharType="begin"/>
            </w:r>
            <w:r w:rsidR="005C342A">
              <w:rPr>
                <w:noProof/>
                <w:webHidden/>
              </w:rPr>
              <w:instrText xml:space="preserve"> PAGEREF _Toc82757112 \h </w:instrText>
            </w:r>
            <w:r w:rsidR="005C342A">
              <w:rPr>
                <w:noProof/>
                <w:webHidden/>
              </w:rPr>
            </w:r>
            <w:r w:rsidR="005C342A">
              <w:rPr>
                <w:noProof/>
                <w:webHidden/>
              </w:rPr>
              <w:fldChar w:fldCharType="separate"/>
            </w:r>
            <w:r w:rsidR="005C342A">
              <w:rPr>
                <w:noProof/>
                <w:webHidden/>
              </w:rPr>
              <w:t>5</w:t>
            </w:r>
            <w:r w:rsidR="005C342A">
              <w:rPr>
                <w:noProof/>
                <w:webHidden/>
              </w:rPr>
              <w:fldChar w:fldCharType="end"/>
            </w:r>
          </w:hyperlink>
        </w:p>
        <w:p w14:paraId="2A53F21A" w14:textId="440E1091" w:rsidR="005C342A" w:rsidRDefault="000278B4" w:rsidP="007D1E1E">
          <w:pPr>
            <w:pStyle w:val="TOC1"/>
            <w:rPr>
              <w:rFonts w:asciiTheme="minorHAnsi" w:eastAsiaTheme="minorEastAsia" w:hAnsiTheme="minorHAnsi"/>
              <w:noProof/>
              <w:color w:val="auto"/>
              <w:sz w:val="22"/>
              <w:lang w:eastAsia="en-GB"/>
            </w:rPr>
          </w:pPr>
          <w:hyperlink w:anchor="_Toc82757113" w:history="1">
            <w:r w:rsidR="005C342A" w:rsidRPr="00CD22C6">
              <w:rPr>
                <w:rStyle w:val="Hyperlink"/>
                <w:rFonts w:asciiTheme="majorHAnsi" w:hAnsiTheme="majorHAnsi"/>
                <w:noProof/>
              </w:rPr>
              <w:t>4</w:t>
            </w:r>
            <w:r w:rsidR="005C342A">
              <w:rPr>
                <w:rFonts w:asciiTheme="minorHAnsi" w:eastAsiaTheme="minorEastAsia" w:hAnsiTheme="minorHAnsi"/>
                <w:noProof/>
                <w:color w:val="auto"/>
                <w:sz w:val="22"/>
                <w:lang w:eastAsia="en-GB"/>
              </w:rPr>
              <w:tab/>
            </w:r>
            <w:r w:rsidR="005C342A" w:rsidRPr="00CD22C6">
              <w:rPr>
                <w:rStyle w:val="Hyperlink"/>
                <w:noProof/>
              </w:rPr>
              <w:t>Risk Assessment and Action Plan</w:t>
            </w:r>
            <w:r w:rsidR="005C342A">
              <w:rPr>
                <w:noProof/>
                <w:webHidden/>
              </w:rPr>
              <w:tab/>
            </w:r>
            <w:r w:rsidR="005C342A">
              <w:rPr>
                <w:noProof/>
                <w:webHidden/>
              </w:rPr>
              <w:fldChar w:fldCharType="begin"/>
            </w:r>
            <w:r w:rsidR="005C342A">
              <w:rPr>
                <w:noProof/>
                <w:webHidden/>
              </w:rPr>
              <w:instrText xml:space="preserve"> PAGEREF _Toc82757113 \h </w:instrText>
            </w:r>
            <w:r w:rsidR="005C342A">
              <w:rPr>
                <w:noProof/>
                <w:webHidden/>
              </w:rPr>
            </w:r>
            <w:r w:rsidR="005C342A">
              <w:rPr>
                <w:noProof/>
                <w:webHidden/>
              </w:rPr>
              <w:fldChar w:fldCharType="separate"/>
            </w:r>
            <w:r w:rsidR="005C342A">
              <w:rPr>
                <w:noProof/>
                <w:webHidden/>
              </w:rPr>
              <w:t>5</w:t>
            </w:r>
            <w:r w:rsidR="005C342A">
              <w:rPr>
                <w:noProof/>
                <w:webHidden/>
              </w:rPr>
              <w:fldChar w:fldCharType="end"/>
            </w:r>
          </w:hyperlink>
        </w:p>
        <w:p w14:paraId="717B9BCB" w14:textId="17D7D8AF" w:rsidR="005C342A" w:rsidRDefault="000278B4" w:rsidP="007D1E1E">
          <w:pPr>
            <w:pStyle w:val="TOC1"/>
            <w:rPr>
              <w:rFonts w:asciiTheme="minorHAnsi" w:eastAsiaTheme="minorEastAsia" w:hAnsiTheme="minorHAnsi"/>
              <w:noProof/>
              <w:color w:val="auto"/>
              <w:sz w:val="22"/>
              <w:lang w:eastAsia="en-GB"/>
            </w:rPr>
          </w:pPr>
          <w:hyperlink w:anchor="_Toc82757114" w:history="1">
            <w:r w:rsidR="005C342A" w:rsidRPr="00CD22C6">
              <w:rPr>
                <w:rStyle w:val="Hyperlink"/>
                <w:rFonts w:asciiTheme="majorHAnsi" w:hAnsiTheme="majorHAnsi"/>
                <w:noProof/>
              </w:rPr>
              <w:t>5</w:t>
            </w:r>
            <w:r w:rsidR="005C342A">
              <w:rPr>
                <w:rFonts w:asciiTheme="minorHAnsi" w:eastAsiaTheme="minorEastAsia" w:hAnsiTheme="minorHAnsi"/>
                <w:noProof/>
                <w:color w:val="auto"/>
                <w:sz w:val="22"/>
                <w:lang w:eastAsia="en-GB"/>
              </w:rPr>
              <w:tab/>
            </w:r>
            <w:r w:rsidR="005C342A" w:rsidRPr="00CD22C6">
              <w:rPr>
                <w:rStyle w:val="Hyperlink"/>
                <w:noProof/>
              </w:rPr>
              <w:t>External Speakers and Events</w:t>
            </w:r>
            <w:r w:rsidR="005C342A">
              <w:rPr>
                <w:noProof/>
                <w:webHidden/>
              </w:rPr>
              <w:tab/>
            </w:r>
            <w:r w:rsidR="005C342A">
              <w:rPr>
                <w:noProof/>
                <w:webHidden/>
              </w:rPr>
              <w:fldChar w:fldCharType="begin"/>
            </w:r>
            <w:r w:rsidR="005C342A">
              <w:rPr>
                <w:noProof/>
                <w:webHidden/>
              </w:rPr>
              <w:instrText xml:space="preserve"> PAGEREF _Toc82757114 \h </w:instrText>
            </w:r>
            <w:r w:rsidR="005C342A">
              <w:rPr>
                <w:noProof/>
                <w:webHidden/>
              </w:rPr>
            </w:r>
            <w:r w:rsidR="005C342A">
              <w:rPr>
                <w:noProof/>
                <w:webHidden/>
              </w:rPr>
              <w:fldChar w:fldCharType="separate"/>
            </w:r>
            <w:r w:rsidR="005C342A">
              <w:rPr>
                <w:noProof/>
                <w:webHidden/>
              </w:rPr>
              <w:t>5</w:t>
            </w:r>
            <w:r w:rsidR="005C342A">
              <w:rPr>
                <w:noProof/>
                <w:webHidden/>
              </w:rPr>
              <w:fldChar w:fldCharType="end"/>
            </w:r>
          </w:hyperlink>
        </w:p>
        <w:p w14:paraId="2E14BE79" w14:textId="6A87D0D4" w:rsidR="005C342A" w:rsidRDefault="000278B4" w:rsidP="007D1E1E">
          <w:pPr>
            <w:pStyle w:val="TOC1"/>
            <w:rPr>
              <w:rFonts w:asciiTheme="minorHAnsi" w:eastAsiaTheme="minorEastAsia" w:hAnsiTheme="minorHAnsi"/>
              <w:noProof/>
              <w:color w:val="auto"/>
              <w:sz w:val="22"/>
              <w:lang w:eastAsia="en-GB"/>
            </w:rPr>
          </w:pPr>
          <w:hyperlink w:anchor="_Toc82757115" w:history="1">
            <w:r w:rsidR="005C342A" w:rsidRPr="00CD22C6">
              <w:rPr>
                <w:rStyle w:val="Hyperlink"/>
                <w:rFonts w:asciiTheme="majorHAnsi" w:hAnsiTheme="majorHAnsi"/>
                <w:noProof/>
              </w:rPr>
              <w:t>6</w:t>
            </w:r>
            <w:r w:rsidR="005C342A">
              <w:rPr>
                <w:rFonts w:asciiTheme="minorHAnsi" w:eastAsiaTheme="minorEastAsia" w:hAnsiTheme="minorHAnsi"/>
                <w:noProof/>
                <w:color w:val="auto"/>
                <w:sz w:val="22"/>
                <w:lang w:eastAsia="en-GB"/>
              </w:rPr>
              <w:tab/>
            </w:r>
            <w:r w:rsidR="005C342A" w:rsidRPr="00CD22C6">
              <w:rPr>
                <w:rStyle w:val="Hyperlink"/>
                <w:noProof/>
              </w:rPr>
              <w:t>Identification, Support and Referral of Vulnerable People</w:t>
            </w:r>
            <w:r w:rsidR="005C342A">
              <w:rPr>
                <w:noProof/>
                <w:webHidden/>
              </w:rPr>
              <w:tab/>
            </w:r>
            <w:r w:rsidR="005C342A">
              <w:rPr>
                <w:noProof/>
                <w:webHidden/>
              </w:rPr>
              <w:fldChar w:fldCharType="begin"/>
            </w:r>
            <w:r w:rsidR="005C342A">
              <w:rPr>
                <w:noProof/>
                <w:webHidden/>
              </w:rPr>
              <w:instrText xml:space="preserve"> PAGEREF _Toc82757115 \h </w:instrText>
            </w:r>
            <w:r w:rsidR="005C342A">
              <w:rPr>
                <w:noProof/>
                <w:webHidden/>
              </w:rPr>
            </w:r>
            <w:r w:rsidR="005C342A">
              <w:rPr>
                <w:noProof/>
                <w:webHidden/>
              </w:rPr>
              <w:fldChar w:fldCharType="separate"/>
            </w:r>
            <w:r w:rsidR="005C342A">
              <w:rPr>
                <w:noProof/>
                <w:webHidden/>
              </w:rPr>
              <w:t>7</w:t>
            </w:r>
            <w:r w:rsidR="005C342A">
              <w:rPr>
                <w:noProof/>
                <w:webHidden/>
              </w:rPr>
              <w:fldChar w:fldCharType="end"/>
            </w:r>
          </w:hyperlink>
        </w:p>
        <w:p w14:paraId="6CDBE805" w14:textId="708CA8BF" w:rsidR="005C342A" w:rsidRDefault="000278B4" w:rsidP="007D1E1E">
          <w:pPr>
            <w:pStyle w:val="TOC1"/>
            <w:rPr>
              <w:rFonts w:asciiTheme="minorHAnsi" w:eastAsiaTheme="minorEastAsia" w:hAnsiTheme="minorHAnsi"/>
              <w:noProof/>
              <w:color w:val="auto"/>
              <w:sz w:val="22"/>
              <w:lang w:eastAsia="en-GB"/>
            </w:rPr>
          </w:pPr>
          <w:hyperlink w:anchor="_Toc82757116" w:history="1">
            <w:r w:rsidR="005C342A" w:rsidRPr="00CD22C6">
              <w:rPr>
                <w:rStyle w:val="Hyperlink"/>
                <w:rFonts w:asciiTheme="majorHAnsi" w:hAnsiTheme="majorHAnsi"/>
                <w:noProof/>
              </w:rPr>
              <w:t>7</w:t>
            </w:r>
            <w:r w:rsidR="005C342A">
              <w:rPr>
                <w:rFonts w:asciiTheme="minorHAnsi" w:eastAsiaTheme="minorEastAsia" w:hAnsiTheme="minorHAnsi"/>
                <w:noProof/>
                <w:color w:val="auto"/>
                <w:sz w:val="22"/>
                <w:lang w:eastAsia="en-GB"/>
              </w:rPr>
              <w:tab/>
            </w:r>
            <w:r w:rsidR="005C342A" w:rsidRPr="00CD22C6">
              <w:rPr>
                <w:rStyle w:val="Hyperlink"/>
                <w:noProof/>
              </w:rPr>
              <w:t>Students’ Union and Student Societies</w:t>
            </w:r>
            <w:r w:rsidR="005C342A">
              <w:rPr>
                <w:noProof/>
                <w:webHidden/>
              </w:rPr>
              <w:tab/>
            </w:r>
            <w:r w:rsidR="005C342A">
              <w:rPr>
                <w:noProof/>
                <w:webHidden/>
              </w:rPr>
              <w:fldChar w:fldCharType="begin"/>
            </w:r>
            <w:r w:rsidR="005C342A">
              <w:rPr>
                <w:noProof/>
                <w:webHidden/>
              </w:rPr>
              <w:instrText xml:space="preserve"> PAGEREF _Toc82757116 \h </w:instrText>
            </w:r>
            <w:r w:rsidR="005C342A">
              <w:rPr>
                <w:noProof/>
                <w:webHidden/>
              </w:rPr>
            </w:r>
            <w:r w:rsidR="005C342A">
              <w:rPr>
                <w:noProof/>
                <w:webHidden/>
              </w:rPr>
              <w:fldChar w:fldCharType="separate"/>
            </w:r>
            <w:r w:rsidR="005C342A">
              <w:rPr>
                <w:noProof/>
                <w:webHidden/>
              </w:rPr>
              <w:t>8</w:t>
            </w:r>
            <w:r w:rsidR="005C342A">
              <w:rPr>
                <w:noProof/>
                <w:webHidden/>
              </w:rPr>
              <w:fldChar w:fldCharType="end"/>
            </w:r>
          </w:hyperlink>
        </w:p>
        <w:p w14:paraId="4B60ED45" w14:textId="446EBC98" w:rsidR="005C342A" w:rsidRDefault="000278B4" w:rsidP="007D1E1E">
          <w:pPr>
            <w:pStyle w:val="TOC1"/>
            <w:rPr>
              <w:rFonts w:asciiTheme="minorHAnsi" w:eastAsiaTheme="minorEastAsia" w:hAnsiTheme="minorHAnsi"/>
              <w:noProof/>
              <w:color w:val="auto"/>
              <w:sz w:val="22"/>
              <w:lang w:eastAsia="en-GB"/>
            </w:rPr>
          </w:pPr>
          <w:hyperlink w:anchor="_Toc82757117" w:history="1">
            <w:r w:rsidR="005C342A" w:rsidRPr="00CD22C6">
              <w:rPr>
                <w:rStyle w:val="Hyperlink"/>
                <w:rFonts w:asciiTheme="majorHAnsi" w:hAnsiTheme="majorHAnsi"/>
                <w:noProof/>
              </w:rPr>
              <w:t>8</w:t>
            </w:r>
            <w:r w:rsidR="005C342A">
              <w:rPr>
                <w:rFonts w:asciiTheme="minorHAnsi" w:eastAsiaTheme="minorEastAsia" w:hAnsiTheme="minorHAnsi"/>
                <w:noProof/>
                <w:color w:val="auto"/>
                <w:sz w:val="22"/>
                <w:lang w:eastAsia="en-GB"/>
              </w:rPr>
              <w:tab/>
            </w:r>
            <w:r w:rsidR="005C342A" w:rsidRPr="00CD22C6">
              <w:rPr>
                <w:rStyle w:val="Hyperlink"/>
                <w:noProof/>
              </w:rPr>
              <w:t>Student Services</w:t>
            </w:r>
            <w:r w:rsidR="005C342A">
              <w:rPr>
                <w:noProof/>
                <w:webHidden/>
              </w:rPr>
              <w:tab/>
            </w:r>
            <w:r w:rsidR="005C342A">
              <w:rPr>
                <w:noProof/>
                <w:webHidden/>
              </w:rPr>
              <w:fldChar w:fldCharType="begin"/>
            </w:r>
            <w:r w:rsidR="005C342A">
              <w:rPr>
                <w:noProof/>
                <w:webHidden/>
              </w:rPr>
              <w:instrText xml:space="preserve"> PAGEREF _Toc82757117 \h </w:instrText>
            </w:r>
            <w:r w:rsidR="005C342A">
              <w:rPr>
                <w:noProof/>
                <w:webHidden/>
              </w:rPr>
            </w:r>
            <w:r w:rsidR="005C342A">
              <w:rPr>
                <w:noProof/>
                <w:webHidden/>
              </w:rPr>
              <w:fldChar w:fldCharType="separate"/>
            </w:r>
            <w:r w:rsidR="005C342A">
              <w:rPr>
                <w:noProof/>
                <w:webHidden/>
              </w:rPr>
              <w:t>8</w:t>
            </w:r>
            <w:r w:rsidR="005C342A">
              <w:rPr>
                <w:noProof/>
                <w:webHidden/>
              </w:rPr>
              <w:fldChar w:fldCharType="end"/>
            </w:r>
          </w:hyperlink>
        </w:p>
        <w:p w14:paraId="607B47CE" w14:textId="42615ADE" w:rsidR="005C342A" w:rsidRDefault="000278B4" w:rsidP="007D1E1E">
          <w:pPr>
            <w:pStyle w:val="TOC1"/>
            <w:rPr>
              <w:rFonts w:asciiTheme="minorHAnsi" w:eastAsiaTheme="minorEastAsia" w:hAnsiTheme="minorHAnsi"/>
              <w:noProof/>
              <w:color w:val="auto"/>
              <w:sz w:val="22"/>
              <w:lang w:eastAsia="en-GB"/>
            </w:rPr>
          </w:pPr>
          <w:hyperlink w:anchor="_Toc82757118" w:history="1">
            <w:r w:rsidR="005C342A" w:rsidRPr="00CD22C6">
              <w:rPr>
                <w:rStyle w:val="Hyperlink"/>
                <w:rFonts w:asciiTheme="majorHAnsi" w:hAnsiTheme="majorHAnsi"/>
                <w:noProof/>
              </w:rPr>
              <w:t>9</w:t>
            </w:r>
            <w:r w:rsidR="005C342A">
              <w:rPr>
                <w:rFonts w:asciiTheme="minorHAnsi" w:eastAsiaTheme="minorEastAsia" w:hAnsiTheme="minorHAnsi"/>
                <w:noProof/>
                <w:color w:val="auto"/>
                <w:sz w:val="22"/>
                <w:lang w:eastAsia="en-GB"/>
              </w:rPr>
              <w:tab/>
            </w:r>
            <w:r w:rsidR="005C342A" w:rsidRPr="00CD22C6">
              <w:rPr>
                <w:rStyle w:val="Hyperlink"/>
                <w:noProof/>
              </w:rPr>
              <w:t>Space for Prayer and Reflection</w:t>
            </w:r>
            <w:r w:rsidR="005C342A">
              <w:rPr>
                <w:noProof/>
                <w:webHidden/>
              </w:rPr>
              <w:tab/>
            </w:r>
            <w:r w:rsidR="005C342A">
              <w:rPr>
                <w:noProof/>
                <w:webHidden/>
              </w:rPr>
              <w:fldChar w:fldCharType="begin"/>
            </w:r>
            <w:r w:rsidR="005C342A">
              <w:rPr>
                <w:noProof/>
                <w:webHidden/>
              </w:rPr>
              <w:instrText xml:space="preserve"> PAGEREF _Toc82757118 \h </w:instrText>
            </w:r>
            <w:r w:rsidR="005C342A">
              <w:rPr>
                <w:noProof/>
                <w:webHidden/>
              </w:rPr>
            </w:r>
            <w:r w:rsidR="005C342A">
              <w:rPr>
                <w:noProof/>
                <w:webHidden/>
              </w:rPr>
              <w:fldChar w:fldCharType="separate"/>
            </w:r>
            <w:r w:rsidR="005C342A">
              <w:rPr>
                <w:noProof/>
                <w:webHidden/>
              </w:rPr>
              <w:t>8</w:t>
            </w:r>
            <w:r w:rsidR="005C342A">
              <w:rPr>
                <w:noProof/>
                <w:webHidden/>
              </w:rPr>
              <w:fldChar w:fldCharType="end"/>
            </w:r>
          </w:hyperlink>
        </w:p>
        <w:p w14:paraId="747E9E92" w14:textId="0A03214A" w:rsidR="005C342A" w:rsidRDefault="000278B4" w:rsidP="007D1E1E">
          <w:pPr>
            <w:pStyle w:val="TOC1"/>
            <w:rPr>
              <w:rFonts w:asciiTheme="minorHAnsi" w:eastAsiaTheme="minorEastAsia" w:hAnsiTheme="minorHAnsi"/>
              <w:noProof/>
              <w:color w:val="auto"/>
              <w:sz w:val="22"/>
              <w:lang w:eastAsia="en-GB"/>
            </w:rPr>
          </w:pPr>
          <w:hyperlink w:anchor="_Toc82757119" w:history="1">
            <w:r w:rsidR="005C342A" w:rsidRPr="00CD22C6">
              <w:rPr>
                <w:rStyle w:val="Hyperlink"/>
                <w:rFonts w:asciiTheme="majorHAnsi" w:hAnsiTheme="majorHAnsi"/>
                <w:noProof/>
              </w:rPr>
              <w:t>10</w:t>
            </w:r>
            <w:r w:rsidR="005C342A">
              <w:rPr>
                <w:rFonts w:asciiTheme="minorHAnsi" w:eastAsiaTheme="minorEastAsia" w:hAnsiTheme="minorHAnsi"/>
                <w:noProof/>
                <w:color w:val="auto"/>
                <w:sz w:val="22"/>
                <w:lang w:eastAsia="en-GB"/>
              </w:rPr>
              <w:tab/>
            </w:r>
            <w:r w:rsidR="005C342A" w:rsidRPr="00CD22C6">
              <w:rPr>
                <w:rStyle w:val="Hyperlink"/>
                <w:noProof/>
              </w:rPr>
              <w:t>Staff Training</w:t>
            </w:r>
            <w:r w:rsidR="005C342A">
              <w:rPr>
                <w:noProof/>
                <w:webHidden/>
              </w:rPr>
              <w:tab/>
            </w:r>
            <w:r w:rsidR="005C342A">
              <w:rPr>
                <w:noProof/>
                <w:webHidden/>
              </w:rPr>
              <w:fldChar w:fldCharType="begin"/>
            </w:r>
            <w:r w:rsidR="005C342A">
              <w:rPr>
                <w:noProof/>
                <w:webHidden/>
              </w:rPr>
              <w:instrText xml:space="preserve"> PAGEREF _Toc82757119 \h </w:instrText>
            </w:r>
            <w:r w:rsidR="005C342A">
              <w:rPr>
                <w:noProof/>
                <w:webHidden/>
              </w:rPr>
            </w:r>
            <w:r w:rsidR="005C342A">
              <w:rPr>
                <w:noProof/>
                <w:webHidden/>
              </w:rPr>
              <w:fldChar w:fldCharType="separate"/>
            </w:r>
            <w:r w:rsidR="005C342A">
              <w:rPr>
                <w:noProof/>
                <w:webHidden/>
              </w:rPr>
              <w:t>9</w:t>
            </w:r>
            <w:r w:rsidR="005C342A">
              <w:rPr>
                <w:noProof/>
                <w:webHidden/>
              </w:rPr>
              <w:fldChar w:fldCharType="end"/>
            </w:r>
          </w:hyperlink>
        </w:p>
        <w:p w14:paraId="38964718" w14:textId="7942BC8D" w:rsidR="005C342A" w:rsidRDefault="000278B4" w:rsidP="007D1E1E">
          <w:pPr>
            <w:pStyle w:val="TOC1"/>
            <w:rPr>
              <w:rFonts w:asciiTheme="minorHAnsi" w:eastAsiaTheme="minorEastAsia" w:hAnsiTheme="minorHAnsi"/>
              <w:noProof/>
              <w:color w:val="auto"/>
              <w:sz w:val="22"/>
              <w:lang w:eastAsia="en-GB"/>
            </w:rPr>
          </w:pPr>
          <w:hyperlink w:anchor="_Toc82757120" w:history="1">
            <w:r w:rsidR="005C342A" w:rsidRPr="00CD22C6">
              <w:rPr>
                <w:rStyle w:val="Hyperlink"/>
                <w:rFonts w:asciiTheme="majorHAnsi" w:hAnsiTheme="majorHAnsi"/>
                <w:noProof/>
              </w:rPr>
              <w:t>11</w:t>
            </w:r>
            <w:r w:rsidR="005C342A">
              <w:rPr>
                <w:rFonts w:asciiTheme="minorHAnsi" w:eastAsiaTheme="minorEastAsia" w:hAnsiTheme="minorHAnsi"/>
                <w:noProof/>
                <w:color w:val="auto"/>
                <w:sz w:val="22"/>
                <w:lang w:eastAsia="en-GB"/>
              </w:rPr>
              <w:tab/>
            </w:r>
            <w:r w:rsidR="005C342A" w:rsidRPr="00CD22C6">
              <w:rPr>
                <w:rStyle w:val="Hyperlink"/>
                <w:noProof/>
              </w:rPr>
              <w:t>Communications</w:t>
            </w:r>
            <w:r w:rsidR="005C342A">
              <w:rPr>
                <w:noProof/>
                <w:webHidden/>
              </w:rPr>
              <w:tab/>
            </w:r>
            <w:r w:rsidR="005C342A">
              <w:rPr>
                <w:noProof/>
                <w:webHidden/>
              </w:rPr>
              <w:fldChar w:fldCharType="begin"/>
            </w:r>
            <w:r w:rsidR="005C342A">
              <w:rPr>
                <w:noProof/>
                <w:webHidden/>
              </w:rPr>
              <w:instrText xml:space="preserve"> PAGEREF _Toc82757120 \h </w:instrText>
            </w:r>
            <w:r w:rsidR="005C342A">
              <w:rPr>
                <w:noProof/>
                <w:webHidden/>
              </w:rPr>
            </w:r>
            <w:r w:rsidR="005C342A">
              <w:rPr>
                <w:noProof/>
                <w:webHidden/>
              </w:rPr>
              <w:fldChar w:fldCharType="separate"/>
            </w:r>
            <w:r w:rsidR="005C342A">
              <w:rPr>
                <w:noProof/>
                <w:webHidden/>
              </w:rPr>
              <w:t>9</w:t>
            </w:r>
            <w:r w:rsidR="005C342A">
              <w:rPr>
                <w:noProof/>
                <w:webHidden/>
              </w:rPr>
              <w:fldChar w:fldCharType="end"/>
            </w:r>
          </w:hyperlink>
        </w:p>
        <w:p w14:paraId="78322787" w14:textId="14C027D3" w:rsidR="005C342A" w:rsidRDefault="000278B4" w:rsidP="007D1E1E">
          <w:pPr>
            <w:pStyle w:val="TOC1"/>
            <w:rPr>
              <w:rFonts w:asciiTheme="minorHAnsi" w:eastAsiaTheme="minorEastAsia" w:hAnsiTheme="minorHAnsi"/>
              <w:noProof/>
              <w:color w:val="auto"/>
              <w:sz w:val="22"/>
              <w:lang w:eastAsia="en-GB"/>
            </w:rPr>
          </w:pPr>
          <w:hyperlink w:anchor="_Toc82757121" w:history="1">
            <w:r w:rsidR="005C342A" w:rsidRPr="00CD22C6">
              <w:rPr>
                <w:rStyle w:val="Hyperlink"/>
                <w:rFonts w:asciiTheme="majorHAnsi" w:hAnsiTheme="majorHAnsi"/>
                <w:noProof/>
              </w:rPr>
              <w:t>12</w:t>
            </w:r>
            <w:r w:rsidR="005C342A">
              <w:rPr>
                <w:rFonts w:asciiTheme="minorHAnsi" w:eastAsiaTheme="minorEastAsia" w:hAnsiTheme="minorHAnsi"/>
                <w:noProof/>
                <w:color w:val="auto"/>
                <w:sz w:val="22"/>
                <w:lang w:eastAsia="en-GB"/>
              </w:rPr>
              <w:tab/>
            </w:r>
            <w:r w:rsidR="005C342A" w:rsidRPr="00CD22C6">
              <w:rPr>
                <w:rStyle w:val="Hyperlink"/>
                <w:noProof/>
              </w:rPr>
              <w:t>Security Sensitive Research</w:t>
            </w:r>
            <w:r w:rsidR="005C342A">
              <w:rPr>
                <w:noProof/>
                <w:webHidden/>
              </w:rPr>
              <w:tab/>
            </w:r>
            <w:r w:rsidR="005C342A">
              <w:rPr>
                <w:noProof/>
                <w:webHidden/>
              </w:rPr>
              <w:fldChar w:fldCharType="begin"/>
            </w:r>
            <w:r w:rsidR="005C342A">
              <w:rPr>
                <w:noProof/>
                <w:webHidden/>
              </w:rPr>
              <w:instrText xml:space="preserve"> PAGEREF _Toc82757121 \h </w:instrText>
            </w:r>
            <w:r w:rsidR="005C342A">
              <w:rPr>
                <w:noProof/>
                <w:webHidden/>
              </w:rPr>
            </w:r>
            <w:r w:rsidR="005C342A">
              <w:rPr>
                <w:noProof/>
                <w:webHidden/>
              </w:rPr>
              <w:fldChar w:fldCharType="separate"/>
            </w:r>
            <w:r w:rsidR="005C342A">
              <w:rPr>
                <w:noProof/>
                <w:webHidden/>
              </w:rPr>
              <w:t>9</w:t>
            </w:r>
            <w:r w:rsidR="005C342A">
              <w:rPr>
                <w:noProof/>
                <w:webHidden/>
              </w:rPr>
              <w:fldChar w:fldCharType="end"/>
            </w:r>
          </w:hyperlink>
        </w:p>
        <w:p w14:paraId="37234EA5" w14:textId="37E59A7A" w:rsidR="005C342A" w:rsidRDefault="000278B4" w:rsidP="007D1E1E">
          <w:pPr>
            <w:pStyle w:val="TOC1"/>
            <w:rPr>
              <w:rFonts w:asciiTheme="minorHAnsi" w:eastAsiaTheme="minorEastAsia" w:hAnsiTheme="minorHAnsi"/>
              <w:noProof/>
              <w:color w:val="auto"/>
              <w:sz w:val="22"/>
              <w:lang w:eastAsia="en-GB"/>
            </w:rPr>
          </w:pPr>
          <w:hyperlink w:anchor="_Toc82757122" w:history="1">
            <w:r w:rsidR="005C342A" w:rsidRPr="00CD22C6">
              <w:rPr>
                <w:rStyle w:val="Hyperlink"/>
                <w:rFonts w:asciiTheme="majorHAnsi" w:hAnsiTheme="majorHAnsi"/>
                <w:noProof/>
              </w:rPr>
              <w:t>13</w:t>
            </w:r>
            <w:r w:rsidR="005C342A">
              <w:rPr>
                <w:rFonts w:asciiTheme="minorHAnsi" w:eastAsiaTheme="minorEastAsia" w:hAnsiTheme="minorHAnsi"/>
                <w:noProof/>
                <w:color w:val="auto"/>
                <w:sz w:val="22"/>
                <w:lang w:eastAsia="en-GB"/>
              </w:rPr>
              <w:tab/>
            </w:r>
            <w:r w:rsidR="005C342A" w:rsidRPr="00CD22C6">
              <w:rPr>
                <w:rStyle w:val="Hyperlink"/>
                <w:noProof/>
              </w:rPr>
              <w:t>Information Technology</w:t>
            </w:r>
            <w:r w:rsidR="005C342A">
              <w:rPr>
                <w:noProof/>
                <w:webHidden/>
              </w:rPr>
              <w:tab/>
            </w:r>
            <w:r w:rsidR="005C342A">
              <w:rPr>
                <w:noProof/>
                <w:webHidden/>
              </w:rPr>
              <w:fldChar w:fldCharType="begin"/>
            </w:r>
            <w:r w:rsidR="005C342A">
              <w:rPr>
                <w:noProof/>
                <w:webHidden/>
              </w:rPr>
              <w:instrText xml:space="preserve"> PAGEREF _Toc82757122 \h </w:instrText>
            </w:r>
            <w:r w:rsidR="005C342A">
              <w:rPr>
                <w:noProof/>
                <w:webHidden/>
              </w:rPr>
            </w:r>
            <w:r w:rsidR="005C342A">
              <w:rPr>
                <w:noProof/>
                <w:webHidden/>
              </w:rPr>
              <w:fldChar w:fldCharType="separate"/>
            </w:r>
            <w:r w:rsidR="005C342A">
              <w:rPr>
                <w:noProof/>
                <w:webHidden/>
              </w:rPr>
              <w:t>9</w:t>
            </w:r>
            <w:r w:rsidR="005C342A">
              <w:rPr>
                <w:noProof/>
                <w:webHidden/>
              </w:rPr>
              <w:fldChar w:fldCharType="end"/>
            </w:r>
          </w:hyperlink>
        </w:p>
        <w:p w14:paraId="608CD94B" w14:textId="1CCB3C17" w:rsidR="005C342A" w:rsidRDefault="000278B4" w:rsidP="007D1E1E">
          <w:pPr>
            <w:pStyle w:val="TOC1"/>
            <w:rPr>
              <w:rFonts w:asciiTheme="minorHAnsi" w:eastAsiaTheme="minorEastAsia" w:hAnsiTheme="minorHAnsi"/>
              <w:noProof/>
              <w:color w:val="auto"/>
              <w:sz w:val="22"/>
              <w:lang w:eastAsia="en-GB"/>
            </w:rPr>
          </w:pPr>
          <w:hyperlink w:anchor="_Toc82757123" w:history="1">
            <w:r w:rsidR="005C342A" w:rsidRPr="00CD22C6">
              <w:rPr>
                <w:rStyle w:val="Hyperlink"/>
                <w:rFonts w:asciiTheme="majorHAnsi" w:hAnsiTheme="majorHAnsi"/>
                <w:noProof/>
              </w:rPr>
              <w:t>14</w:t>
            </w:r>
            <w:r w:rsidR="005C342A">
              <w:rPr>
                <w:rFonts w:asciiTheme="minorHAnsi" w:eastAsiaTheme="minorEastAsia" w:hAnsiTheme="minorHAnsi"/>
                <w:noProof/>
                <w:color w:val="auto"/>
                <w:sz w:val="22"/>
                <w:lang w:eastAsia="en-GB"/>
              </w:rPr>
              <w:tab/>
            </w:r>
            <w:r w:rsidR="005C342A" w:rsidRPr="00CD22C6">
              <w:rPr>
                <w:rStyle w:val="Hyperlink"/>
                <w:noProof/>
              </w:rPr>
              <w:t>Information Sharing</w:t>
            </w:r>
            <w:r w:rsidR="005C342A">
              <w:rPr>
                <w:noProof/>
                <w:webHidden/>
              </w:rPr>
              <w:tab/>
            </w:r>
            <w:r w:rsidR="005C342A">
              <w:rPr>
                <w:noProof/>
                <w:webHidden/>
              </w:rPr>
              <w:fldChar w:fldCharType="begin"/>
            </w:r>
            <w:r w:rsidR="005C342A">
              <w:rPr>
                <w:noProof/>
                <w:webHidden/>
              </w:rPr>
              <w:instrText xml:space="preserve"> PAGEREF _Toc82757123 \h </w:instrText>
            </w:r>
            <w:r w:rsidR="005C342A">
              <w:rPr>
                <w:noProof/>
                <w:webHidden/>
              </w:rPr>
            </w:r>
            <w:r w:rsidR="005C342A">
              <w:rPr>
                <w:noProof/>
                <w:webHidden/>
              </w:rPr>
              <w:fldChar w:fldCharType="separate"/>
            </w:r>
            <w:r w:rsidR="005C342A">
              <w:rPr>
                <w:noProof/>
                <w:webHidden/>
              </w:rPr>
              <w:t>10</w:t>
            </w:r>
            <w:r w:rsidR="005C342A">
              <w:rPr>
                <w:noProof/>
                <w:webHidden/>
              </w:rPr>
              <w:fldChar w:fldCharType="end"/>
            </w:r>
          </w:hyperlink>
        </w:p>
        <w:p w14:paraId="16790BC8" w14:textId="3039E300" w:rsidR="005C342A" w:rsidRDefault="000278B4" w:rsidP="007D1E1E">
          <w:pPr>
            <w:pStyle w:val="TOC1"/>
            <w:rPr>
              <w:rFonts w:asciiTheme="minorHAnsi" w:eastAsiaTheme="minorEastAsia" w:hAnsiTheme="minorHAnsi"/>
              <w:noProof/>
              <w:color w:val="auto"/>
              <w:sz w:val="22"/>
              <w:lang w:eastAsia="en-GB"/>
            </w:rPr>
          </w:pPr>
          <w:hyperlink w:anchor="_Toc82757124" w:history="1">
            <w:r w:rsidR="005C342A" w:rsidRPr="00CD22C6">
              <w:rPr>
                <w:rStyle w:val="Hyperlink"/>
                <w:rFonts w:asciiTheme="majorHAnsi" w:hAnsiTheme="majorHAnsi"/>
                <w:noProof/>
              </w:rPr>
              <w:t>15</w:t>
            </w:r>
            <w:r w:rsidR="005C342A">
              <w:rPr>
                <w:rFonts w:asciiTheme="minorHAnsi" w:eastAsiaTheme="minorEastAsia" w:hAnsiTheme="minorHAnsi"/>
                <w:noProof/>
                <w:color w:val="auto"/>
                <w:sz w:val="22"/>
                <w:lang w:eastAsia="en-GB"/>
              </w:rPr>
              <w:tab/>
            </w:r>
            <w:r w:rsidR="005C342A" w:rsidRPr="00CD22C6">
              <w:rPr>
                <w:rStyle w:val="Hyperlink"/>
                <w:noProof/>
              </w:rPr>
              <w:t>Prevent Duty Co-ordination Group</w:t>
            </w:r>
            <w:r w:rsidR="005C342A">
              <w:rPr>
                <w:noProof/>
                <w:webHidden/>
              </w:rPr>
              <w:tab/>
            </w:r>
            <w:r w:rsidR="005C342A">
              <w:rPr>
                <w:noProof/>
                <w:webHidden/>
              </w:rPr>
              <w:fldChar w:fldCharType="begin"/>
            </w:r>
            <w:r w:rsidR="005C342A">
              <w:rPr>
                <w:noProof/>
                <w:webHidden/>
              </w:rPr>
              <w:instrText xml:space="preserve"> PAGEREF _Toc82757124 \h </w:instrText>
            </w:r>
            <w:r w:rsidR="005C342A">
              <w:rPr>
                <w:noProof/>
                <w:webHidden/>
              </w:rPr>
            </w:r>
            <w:r w:rsidR="005C342A">
              <w:rPr>
                <w:noProof/>
                <w:webHidden/>
              </w:rPr>
              <w:fldChar w:fldCharType="separate"/>
            </w:r>
            <w:r w:rsidR="005C342A">
              <w:rPr>
                <w:noProof/>
                <w:webHidden/>
              </w:rPr>
              <w:t>10</w:t>
            </w:r>
            <w:r w:rsidR="005C342A">
              <w:rPr>
                <w:noProof/>
                <w:webHidden/>
              </w:rPr>
              <w:fldChar w:fldCharType="end"/>
            </w:r>
          </w:hyperlink>
        </w:p>
        <w:p w14:paraId="3CC5C2F6" w14:textId="4EE97A38" w:rsidR="005C342A" w:rsidRDefault="000278B4" w:rsidP="007D1E1E">
          <w:pPr>
            <w:pStyle w:val="TOC1"/>
            <w:rPr>
              <w:rFonts w:asciiTheme="minorHAnsi" w:eastAsiaTheme="minorEastAsia" w:hAnsiTheme="minorHAnsi"/>
              <w:noProof/>
              <w:color w:val="auto"/>
              <w:sz w:val="22"/>
              <w:lang w:eastAsia="en-GB"/>
            </w:rPr>
          </w:pPr>
          <w:hyperlink w:anchor="_Toc82757125" w:history="1">
            <w:r w:rsidR="005C342A" w:rsidRPr="00CD22C6">
              <w:rPr>
                <w:rStyle w:val="Hyperlink"/>
                <w:rFonts w:asciiTheme="majorHAnsi" w:hAnsiTheme="majorHAnsi"/>
                <w:noProof/>
              </w:rPr>
              <w:t>16</w:t>
            </w:r>
            <w:r w:rsidR="005C342A">
              <w:rPr>
                <w:rFonts w:asciiTheme="minorHAnsi" w:eastAsiaTheme="minorEastAsia" w:hAnsiTheme="minorHAnsi"/>
                <w:noProof/>
                <w:color w:val="auto"/>
                <w:sz w:val="22"/>
                <w:lang w:eastAsia="en-GB"/>
              </w:rPr>
              <w:tab/>
            </w:r>
            <w:r w:rsidR="005C342A" w:rsidRPr="00CD22C6">
              <w:rPr>
                <w:rStyle w:val="Hyperlink"/>
                <w:noProof/>
              </w:rPr>
              <w:t>Review and Approval</w:t>
            </w:r>
            <w:r w:rsidR="005C342A">
              <w:rPr>
                <w:noProof/>
                <w:webHidden/>
              </w:rPr>
              <w:tab/>
            </w:r>
            <w:r w:rsidR="005C342A">
              <w:rPr>
                <w:noProof/>
                <w:webHidden/>
              </w:rPr>
              <w:fldChar w:fldCharType="begin"/>
            </w:r>
            <w:r w:rsidR="005C342A">
              <w:rPr>
                <w:noProof/>
                <w:webHidden/>
              </w:rPr>
              <w:instrText xml:space="preserve"> PAGEREF _Toc82757125 \h </w:instrText>
            </w:r>
            <w:r w:rsidR="005C342A">
              <w:rPr>
                <w:noProof/>
                <w:webHidden/>
              </w:rPr>
            </w:r>
            <w:r w:rsidR="005C342A">
              <w:rPr>
                <w:noProof/>
                <w:webHidden/>
              </w:rPr>
              <w:fldChar w:fldCharType="separate"/>
            </w:r>
            <w:r w:rsidR="005C342A">
              <w:rPr>
                <w:noProof/>
                <w:webHidden/>
              </w:rPr>
              <w:t>10</w:t>
            </w:r>
            <w:r w:rsidR="005C342A">
              <w:rPr>
                <w:noProof/>
                <w:webHidden/>
              </w:rPr>
              <w:fldChar w:fldCharType="end"/>
            </w:r>
          </w:hyperlink>
        </w:p>
        <w:p w14:paraId="240DC315" w14:textId="7FAE5C47" w:rsidR="005C342A" w:rsidRDefault="005C342A" w:rsidP="005C342A">
          <w:pPr>
            <w:rPr>
              <w:b/>
              <w:bCs/>
              <w:noProof/>
            </w:rPr>
          </w:pPr>
          <w:r w:rsidRPr="00A10647">
            <w:rPr>
              <w:szCs w:val="24"/>
            </w:rPr>
            <w:fldChar w:fldCharType="end"/>
          </w:r>
        </w:p>
      </w:sdtContent>
    </w:sdt>
    <w:p w14:paraId="2FF3D3F5" w14:textId="77777777" w:rsidR="005C342A" w:rsidRDefault="005C342A" w:rsidP="00AA7427">
      <w:pPr>
        <w:pStyle w:val="Title"/>
        <w:spacing w:before="240" w:after="240"/>
      </w:pPr>
    </w:p>
    <w:p w14:paraId="75AC25B4" w14:textId="77777777" w:rsidR="005C342A" w:rsidRDefault="005C342A">
      <w:pPr>
        <w:rPr>
          <w:rFonts w:ascii="Altis" w:eastAsiaTheme="majorEastAsia" w:hAnsi="Altis" w:cstheme="majorBidi"/>
          <w:color w:val="13335A"/>
          <w:spacing w:val="-10"/>
          <w:kern w:val="28"/>
          <w:sz w:val="48"/>
          <w:szCs w:val="56"/>
        </w:rPr>
      </w:pPr>
      <w:r>
        <w:br w:type="page"/>
      </w:r>
    </w:p>
    <w:p w14:paraId="201C21E7" w14:textId="42A2ABF8" w:rsidR="00AF24EF" w:rsidRPr="00EB0A95" w:rsidRDefault="009C3B88" w:rsidP="004A1086">
      <w:pPr>
        <w:pStyle w:val="Title"/>
        <w:spacing w:before="240" w:after="240"/>
        <w:jc w:val="center"/>
      </w:pPr>
      <w:r>
        <w:lastRenderedPageBreak/>
        <w:t>Prevent Policy</w:t>
      </w:r>
    </w:p>
    <w:p w14:paraId="29306DFA" w14:textId="36ECB97F" w:rsidR="00D55578" w:rsidRDefault="0033086D" w:rsidP="00375457">
      <w:pPr>
        <w:pStyle w:val="Heading1"/>
        <w:spacing w:before="0" w:after="240" w:line="240" w:lineRule="auto"/>
      </w:pPr>
      <w:bookmarkStart w:id="4" w:name="_Toc82757110"/>
      <w:r>
        <w:t>Introduction</w:t>
      </w:r>
      <w:bookmarkEnd w:id="4"/>
    </w:p>
    <w:p w14:paraId="52842EA9" w14:textId="14F0541A" w:rsidR="00EB0A95" w:rsidRPr="00EB0A95" w:rsidRDefault="00D55578" w:rsidP="00375457">
      <w:pPr>
        <w:pStyle w:val="Heading2"/>
        <w:spacing w:before="0" w:after="240" w:line="240" w:lineRule="auto"/>
      </w:pPr>
      <w:r w:rsidRPr="009A1219">
        <w:t>Purpose</w:t>
      </w:r>
    </w:p>
    <w:p w14:paraId="225C166D" w14:textId="65E37DA4" w:rsidR="00043BCC" w:rsidRPr="00753AFD" w:rsidRDefault="00DF46E9" w:rsidP="00375457">
      <w:pPr>
        <w:pStyle w:val="Heading3"/>
        <w:spacing w:before="0" w:after="240" w:line="240" w:lineRule="auto"/>
      </w:pPr>
      <w:r w:rsidRPr="00753AFD">
        <w:t>The University is required under the Counter-Terrorism and Security Act 2015</w:t>
      </w:r>
      <w:r w:rsidR="002D5E57">
        <w:rPr>
          <w:rStyle w:val="FootnoteReference"/>
        </w:rPr>
        <w:footnoteReference w:id="1"/>
      </w:r>
      <w:r w:rsidRPr="00753AFD">
        <w:t> to ‘have due regard to the need to prevent people from being drawn into terrorism’ and to comply with the guidance issued by the Home Secretary (Prevent Duty Guidance for higher education institutions in England and Wales</w:t>
      </w:r>
      <w:r w:rsidR="006E0277">
        <w:rPr>
          <w:rStyle w:val="FootnoteReference"/>
        </w:rPr>
        <w:footnoteReference w:id="2"/>
      </w:r>
      <w:r w:rsidRPr="00753AFD">
        <w:t>).  </w:t>
      </w:r>
      <w:r w:rsidR="00D53097">
        <w:t xml:space="preserve">This is known as “the Prevent Duty”.  </w:t>
      </w:r>
      <w:r w:rsidRPr="00753AFD">
        <w:t xml:space="preserve">This </w:t>
      </w:r>
      <w:r w:rsidR="00D53097">
        <w:t>Policy</w:t>
      </w:r>
      <w:r w:rsidRPr="00753AFD">
        <w:t xml:space="preserve"> outlines our approach to the specific elements and provisions of the Act as they apply to higher education providers, as well as our general approach to issues around the vulnerability of our staff and students with regard to abuse, exploitation or radicalisation from any source, and relevant measures which enable our students to learn in a safe and supportive environment.</w:t>
      </w:r>
    </w:p>
    <w:p w14:paraId="3B5F907A" w14:textId="3CE4DD0F" w:rsidR="00650E25" w:rsidRPr="00650E25" w:rsidRDefault="00753AFD" w:rsidP="00375457">
      <w:pPr>
        <w:pStyle w:val="Heading3"/>
        <w:spacing w:before="0" w:after="240" w:line="240" w:lineRule="auto"/>
      </w:pPr>
      <w:r w:rsidRPr="00753AFD">
        <w:t xml:space="preserve">We have set out separately to this document the </w:t>
      </w:r>
      <w:hyperlink r:id="rId12" w:history="1">
        <w:r w:rsidRPr="00147FDA">
          <w:rPr>
            <w:rStyle w:val="Hyperlink"/>
          </w:rPr>
          <w:t>University Policy on Equality, Diversity and Inclusion</w:t>
        </w:r>
      </w:hyperlink>
      <w:r w:rsidRPr="00753AFD">
        <w:t xml:space="preserve"> and the </w:t>
      </w:r>
      <w:hyperlink r:id="rId13" w:history="1">
        <w:r w:rsidRPr="00753AFD">
          <w:rPr>
            <w:rStyle w:val="Hyperlink"/>
          </w:rPr>
          <w:t>Code of Practice on Freedom of Speech</w:t>
        </w:r>
      </w:hyperlink>
      <w:r w:rsidRPr="00753AFD">
        <w:t>.  These documents complement this Policy.</w:t>
      </w:r>
    </w:p>
    <w:p w14:paraId="57D87E82" w14:textId="39FBC228" w:rsidR="00EB0A95" w:rsidRPr="00EB0A95" w:rsidRDefault="00844206" w:rsidP="00375457">
      <w:pPr>
        <w:pStyle w:val="Heading2"/>
        <w:spacing w:before="0" w:after="240" w:line="240" w:lineRule="auto"/>
      </w:pPr>
      <w:r w:rsidRPr="009A1219">
        <w:t>Scope</w:t>
      </w:r>
    </w:p>
    <w:p w14:paraId="1E931423" w14:textId="2EE87B72" w:rsidR="00A05E79" w:rsidRDefault="003B5021" w:rsidP="00AA7427">
      <w:pPr>
        <w:pStyle w:val="Heading3"/>
      </w:pPr>
      <w:r w:rsidRPr="00392D84">
        <w:t xml:space="preserve">This policy relates to all </w:t>
      </w:r>
      <w:r w:rsidR="005B4F45" w:rsidRPr="00392D84">
        <w:t>staff, students, visitors to University buildings and those engaged in business on behalf of the University</w:t>
      </w:r>
      <w:r w:rsidR="00733890">
        <w:t>.</w:t>
      </w:r>
    </w:p>
    <w:p w14:paraId="56A91070" w14:textId="77777777" w:rsidR="00AA7427" w:rsidRPr="00AA7427" w:rsidRDefault="00AA7427" w:rsidP="00AA7427"/>
    <w:p w14:paraId="4DE2DC8A" w14:textId="73BD903E" w:rsidR="00A64EBD" w:rsidRPr="00A64EBD" w:rsidRDefault="00D36851" w:rsidP="00375457">
      <w:pPr>
        <w:pStyle w:val="Heading1"/>
        <w:spacing w:before="0" w:after="240" w:line="240" w:lineRule="auto"/>
      </w:pPr>
      <w:bookmarkStart w:id="5" w:name="_Toc82757111"/>
      <w:r w:rsidRPr="00C460EA">
        <w:t>Principles of Operation</w:t>
      </w:r>
      <w:bookmarkEnd w:id="5"/>
    </w:p>
    <w:p w14:paraId="3AEF9752" w14:textId="77777777" w:rsidR="0057553C" w:rsidRDefault="003703D0" w:rsidP="00375457">
      <w:pPr>
        <w:pStyle w:val="Heading2"/>
        <w:spacing w:before="0" w:after="240" w:line="240" w:lineRule="auto"/>
      </w:pPr>
      <w:r w:rsidRPr="00DF7E91">
        <w:t>Cardiff Metropolitan University is committed to taking measures to ensure that students and staff are enabled to learn and work in a safe and intellectually stimulating environment.</w:t>
      </w:r>
    </w:p>
    <w:p w14:paraId="3546764A" w14:textId="1BB88992" w:rsidR="0057553C" w:rsidRDefault="0057553C" w:rsidP="00375457">
      <w:pPr>
        <w:pStyle w:val="Heading2"/>
        <w:spacing w:before="0" w:after="240" w:line="240" w:lineRule="auto"/>
        <w:rPr>
          <w:rFonts w:cs="Arial"/>
        </w:rPr>
      </w:pPr>
      <w:r w:rsidRPr="0057553C">
        <w:rPr>
          <w:rFonts w:cs="Arial"/>
        </w:rPr>
        <w:t>We will exercise our Prevent duties in a risk-based and proportionate way.  We will embed our responsibilities into a safeguarding approach which seeks to provide support to any student or staff member who is deemed to be at risk of abuse or exploitation, including vulnerability to radicalisation and being drawn into violent extremism.</w:t>
      </w:r>
    </w:p>
    <w:p w14:paraId="6EF80CE7" w14:textId="6A9C66F3" w:rsidR="00AE0592" w:rsidRPr="00DF7E91" w:rsidRDefault="00AE0592" w:rsidP="00375457">
      <w:pPr>
        <w:pStyle w:val="Heading2"/>
        <w:numPr>
          <w:ilvl w:val="1"/>
          <w:numId w:val="4"/>
        </w:numPr>
        <w:spacing w:before="0" w:after="240" w:line="240" w:lineRule="auto"/>
        <w:ind w:left="578" w:hanging="578"/>
      </w:pPr>
      <w:r w:rsidRPr="00DF7E91">
        <w:t xml:space="preserve">We will seek to be as transparent as possible in our Prevent obligations whilst also protecting individual and personal data as outlined in the </w:t>
      </w:r>
      <w:hyperlink r:id="rId14" w:history="1">
        <w:r w:rsidRPr="007F5850">
          <w:rPr>
            <w:rStyle w:val="Hyperlink"/>
            <w:rFonts w:cs="Arial"/>
          </w:rPr>
          <w:t>University’s Data Protection Policy</w:t>
        </w:r>
      </w:hyperlink>
      <w:r w:rsidRPr="00DF7E91">
        <w:t>. This involves actively engaging the Students</w:t>
      </w:r>
      <w:r w:rsidR="00A52378">
        <w:t>’</w:t>
      </w:r>
      <w:r w:rsidRPr="00DF7E91">
        <w:t xml:space="preserve"> Union and the recognised trade unions in changes to this, and related, policies.</w:t>
      </w:r>
    </w:p>
    <w:p w14:paraId="409ABE04" w14:textId="5714B351" w:rsidR="00AE0592" w:rsidRPr="00DF7E91" w:rsidRDefault="00AE0592" w:rsidP="00375457">
      <w:pPr>
        <w:pStyle w:val="Heading2"/>
        <w:numPr>
          <w:ilvl w:val="1"/>
          <w:numId w:val="4"/>
        </w:numPr>
        <w:spacing w:before="0" w:after="240" w:line="240" w:lineRule="auto"/>
        <w:ind w:left="578" w:hanging="578"/>
      </w:pPr>
      <w:r w:rsidRPr="00DF7E91">
        <w:t xml:space="preserve">The University places a priority on working with partners to ensure we provide a safe environment for all. We will actively engage with South Wales HE Prevent </w:t>
      </w:r>
      <w:r w:rsidRPr="00DF7E91">
        <w:lastRenderedPageBreak/>
        <w:t xml:space="preserve">Forum and will work in partnership with local </w:t>
      </w:r>
      <w:r w:rsidR="0039553F">
        <w:t>u</w:t>
      </w:r>
      <w:r w:rsidRPr="00DF7E91">
        <w:t>niversities and government and security services to share information and best practice.</w:t>
      </w:r>
    </w:p>
    <w:p w14:paraId="4CA94004" w14:textId="34C74753" w:rsidR="0097500D" w:rsidRDefault="00AE0592" w:rsidP="00375457">
      <w:pPr>
        <w:pStyle w:val="Heading2"/>
        <w:spacing w:before="0" w:after="240" w:line="240" w:lineRule="auto"/>
      </w:pPr>
      <w:r w:rsidRPr="00DF7E91">
        <w:t>Cardiff Metropolitan University is strongly committed to the principles of freedom of speech and has a statutory duty to protect it. We will endeavour to balance this responsibility with our commitment to student and staff safety and equality and diversity.</w:t>
      </w:r>
    </w:p>
    <w:p w14:paraId="5C080029" w14:textId="77777777" w:rsidR="00AA7427" w:rsidRPr="00AA7427" w:rsidRDefault="00AA7427" w:rsidP="00AA7427">
      <w:pPr>
        <w:spacing w:after="0"/>
      </w:pPr>
    </w:p>
    <w:p w14:paraId="280CDE1E" w14:textId="47846B1C" w:rsidR="000968FE" w:rsidRDefault="001E5EDD" w:rsidP="00AA7427">
      <w:pPr>
        <w:pStyle w:val="Heading1"/>
        <w:numPr>
          <w:ilvl w:val="0"/>
          <w:numId w:val="4"/>
        </w:numPr>
        <w:spacing w:before="0" w:after="240" w:line="240" w:lineRule="auto"/>
        <w:ind w:left="431" w:hanging="431"/>
      </w:pPr>
      <w:bookmarkStart w:id="6" w:name="_Toc77936662"/>
      <w:bookmarkStart w:id="7" w:name="_Toc82757112"/>
      <w:r>
        <w:t>Roles and Responsibilities</w:t>
      </w:r>
      <w:bookmarkEnd w:id="6"/>
      <w:bookmarkEnd w:id="7"/>
    </w:p>
    <w:p w14:paraId="47D4C741" w14:textId="7A142287" w:rsidR="00006C1E" w:rsidRPr="00CF559B" w:rsidRDefault="00006C1E" w:rsidP="00375457">
      <w:pPr>
        <w:pStyle w:val="Heading2"/>
        <w:spacing w:before="0" w:after="240" w:line="240" w:lineRule="auto"/>
      </w:pPr>
      <w:r w:rsidRPr="00CF559B">
        <w:t>All staff have a responsibility to ensure that</w:t>
      </w:r>
      <w:r w:rsidR="004338FC" w:rsidRPr="00CF559B">
        <w:t xml:space="preserve"> they meet the provisions outlined in this Policy</w:t>
      </w:r>
      <w:r w:rsidR="00C76E83" w:rsidRPr="00CF559B">
        <w:t>. C</w:t>
      </w:r>
      <w:r w:rsidR="00705B2F" w:rsidRPr="00CF559B">
        <w:t xml:space="preserve">ompliance is a legal requirement.  They are also required to </w:t>
      </w:r>
      <w:r w:rsidR="004338FC" w:rsidRPr="00CF559B">
        <w:t xml:space="preserve"> attend staff training as </w:t>
      </w:r>
      <w:r w:rsidR="00FE0808" w:rsidRPr="00CF559B">
        <w:t>mandated for their role</w:t>
      </w:r>
      <w:r w:rsidR="004338FC" w:rsidRPr="00CF559B">
        <w:t>.</w:t>
      </w:r>
    </w:p>
    <w:p w14:paraId="4AAF67DA" w14:textId="516431BD" w:rsidR="00A113F2" w:rsidRPr="00CF559B" w:rsidRDefault="005203BF" w:rsidP="00375457">
      <w:pPr>
        <w:pStyle w:val="Heading2"/>
        <w:spacing w:before="0" w:after="240" w:line="240" w:lineRule="auto"/>
      </w:pPr>
      <w:r w:rsidRPr="00CF559B">
        <w:t>The Head of Compliance acts as the University’s Prevent Co-ordinator</w:t>
      </w:r>
      <w:r w:rsidR="00007C1F" w:rsidRPr="00CF559B">
        <w:t xml:space="preserve"> and is responsible for policy development, the </w:t>
      </w:r>
      <w:r w:rsidR="005D60CC" w:rsidRPr="00CF559B">
        <w:t xml:space="preserve">production and review of the Prevent Risk </w:t>
      </w:r>
      <w:r w:rsidR="00006C1E" w:rsidRPr="00CF559B">
        <w:t>A</w:t>
      </w:r>
      <w:r w:rsidR="005D60CC" w:rsidRPr="00CF559B">
        <w:t xml:space="preserve">ssessment and Action Plan (see section 4), </w:t>
      </w:r>
      <w:r w:rsidR="00B367A3" w:rsidRPr="00CF559B">
        <w:t xml:space="preserve">operational implementation of </w:t>
      </w:r>
      <w:r w:rsidR="00A113F2" w:rsidRPr="00CF559B">
        <w:t>this</w:t>
      </w:r>
      <w:r w:rsidR="00B367A3" w:rsidRPr="00CF559B">
        <w:t xml:space="preserve"> Policy, </w:t>
      </w:r>
      <w:r w:rsidR="00951D87" w:rsidRPr="00CF559B">
        <w:t>providing</w:t>
      </w:r>
      <w:r w:rsidR="00B367A3" w:rsidRPr="00CF559B">
        <w:t xml:space="preserve"> assurance to the Board of Governors</w:t>
      </w:r>
      <w:r w:rsidR="00A113F2" w:rsidRPr="00CF559B">
        <w:t>,</w:t>
      </w:r>
      <w:r w:rsidR="00B367A3" w:rsidRPr="00CF559B">
        <w:t xml:space="preserve"> </w:t>
      </w:r>
      <w:r w:rsidR="00451F6F" w:rsidRPr="00CF559B">
        <w:t>managing relationships with key external partners</w:t>
      </w:r>
      <w:r w:rsidR="00CF559B" w:rsidRPr="00CF559B">
        <w:t xml:space="preserve"> and stakeholders, </w:t>
      </w:r>
      <w:r w:rsidR="00B367A3" w:rsidRPr="00CF559B">
        <w:t xml:space="preserve">and undertaking the annual monitoring exercise required by the regulator. </w:t>
      </w:r>
    </w:p>
    <w:p w14:paraId="7BBAAC82" w14:textId="03992ED7" w:rsidR="00A113F2" w:rsidRPr="00CF559B" w:rsidRDefault="00A113F2" w:rsidP="00375457">
      <w:pPr>
        <w:pStyle w:val="Heading2"/>
        <w:spacing w:before="0" w:after="240" w:line="240" w:lineRule="auto"/>
      </w:pPr>
      <w:r w:rsidRPr="00CF559B">
        <w:t>The Prevent Duty Co-ordination Group is responsible for providing oversight of the University’s compliance responsibilit</w:t>
      </w:r>
      <w:r w:rsidR="00D86BA7">
        <w:t>ies</w:t>
      </w:r>
      <w:r w:rsidRPr="00CF559B">
        <w:t xml:space="preserve"> in relation to the Prevent Duty (see section 15).</w:t>
      </w:r>
      <w:r w:rsidR="00B367A3" w:rsidRPr="00CF559B">
        <w:t xml:space="preserve"> </w:t>
      </w:r>
    </w:p>
    <w:p w14:paraId="5823FE2A" w14:textId="18C9FA4E" w:rsidR="001E5EDD" w:rsidRPr="00CF559B" w:rsidRDefault="00406F60" w:rsidP="00375457">
      <w:pPr>
        <w:pStyle w:val="Heading2"/>
        <w:spacing w:before="0" w:after="240" w:line="240" w:lineRule="auto"/>
      </w:pPr>
      <w:r w:rsidRPr="00CF559B">
        <w:t xml:space="preserve">Any questions </w:t>
      </w:r>
      <w:r w:rsidR="00CF559B" w:rsidRPr="00CF559B">
        <w:t>regarding</w:t>
      </w:r>
      <w:r w:rsidRPr="00CF559B">
        <w:t xml:space="preserve"> the content of this Policy </w:t>
      </w:r>
      <w:r w:rsidR="00845A73" w:rsidRPr="00CF559B">
        <w:t xml:space="preserve">should be directed to the Prevent Co-ordinator at </w:t>
      </w:r>
      <w:hyperlink r:id="rId15" w:history="1">
        <w:r w:rsidR="009E133D">
          <w:rPr>
            <w:rStyle w:val="Hyperlink"/>
          </w:rPr>
          <w:t>safeguard@cardiffmet.ac.uk</w:t>
        </w:r>
      </w:hyperlink>
      <w:r w:rsidR="00A113F2" w:rsidRPr="00CF559B">
        <w:t>.</w:t>
      </w:r>
      <w:r w:rsidR="001309D4">
        <w:t xml:space="preserve"> Further guidance is also available for staff </w:t>
      </w:r>
      <w:r w:rsidR="000000F2">
        <w:t xml:space="preserve">on </w:t>
      </w:r>
      <w:hyperlink r:id="rId16" w:history="1">
        <w:r w:rsidR="000000F2" w:rsidRPr="004952AA">
          <w:rPr>
            <w:rStyle w:val="Hyperlink"/>
          </w:rPr>
          <w:t>In Site</w:t>
        </w:r>
      </w:hyperlink>
      <w:r w:rsidR="004952AA">
        <w:t>.</w:t>
      </w:r>
    </w:p>
    <w:p w14:paraId="11827817" w14:textId="77777777" w:rsidR="00AE0592" w:rsidRPr="00AE0592" w:rsidRDefault="00AE0592" w:rsidP="00AA7427">
      <w:pPr>
        <w:spacing w:after="0" w:line="240" w:lineRule="auto"/>
      </w:pPr>
    </w:p>
    <w:p w14:paraId="35DCB3F4" w14:textId="4D6AF745" w:rsidR="00ED1C05" w:rsidRPr="00ED1C05" w:rsidRDefault="00AE006F" w:rsidP="00375457">
      <w:pPr>
        <w:pStyle w:val="Heading1"/>
        <w:spacing w:before="0" w:after="240" w:line="240" w:lineRule="auto"/>
      </w:pPr>
      <w:bookmarkStart w:id="8" w:name="_Toc82757113"/>
      <w:r>
        <w:t>Risk Assessment and Action Plan</w:t>
      </w:r>
      <w:bookmarkEnd w:id="8"/>
    </w:p>
    <w:p w14:paraId="2AEE52A9" w14:textId="30E3F036" w:rsidR="00355BB4" w:rsidRDefault="00EF1E98" w:rsidP="00375457">
      <w:pPr>
        <w:pStyle w:val="Heading2"/>
        <w:spacing w:before="0" w:after="240" w:line="240" w:lineRule="auto"/>
        <w:rPr>
          <w:shd w:val="clear" w:color="auto" w:fill="FFFFFF"/>
        </w:rPr>
      </w:pPr>
      <w:r w:rsidRPr="00DF7E91">
        <w:rPr>
          <w:shd w:val="clear" w:color="auto" w:fill="FFFFFF"/>
        </w:rPr>
        <w:t>In accordance with the statutory guidance for higher education providers</w:t>
      </w:r>
      <w:r>
        <w:rPr>
          <w:rStyle w:val="FootnoteReference"/>
          <w:sz w:val="22"/>
          <w:szCs w:val="22"/>
          <w:shd w:val="clear" w:color="auto" w:fill="FFFFFF"/>
        </w:rPr>
        <w:footnoteReference w:id="3"/>
      </w:r>
      <w:r w:rsidRPr="00DF7E91">
        <w:rPr>
          <w:shd w:val="clear" w:color="auto" w:fill="FFFFFF"/>
        </w:rPr>
        <w:t xml:space="preserve"> we have set out a risk register and action plan which will be reviewed regularly and is subject to monitoring and enforcement.</w:t>
      </w:r>
    </w:p>
    <w:p w14:paraId="33832248" w14:textId="77777777" w:rsidR="00AA7427" w:rsidRPr="00AA7427" w:rsidRDefault="00AA7427" w:rsidP="00AA7427">
      <w:pPr>
        <w:spacing w:after="0"/>
      </w:pPr>
    </w:p>
    <w:p w14:paraId="55062987" w14:textId="2C78BFF2" w:rsidR="00951E2D" w:rsidRPr="00951E2D" w:rsidRDefault="00ED1C05" w:rsidP="00375457">
      <w:pPr>
        <w:pStyle w:val="Heading1"/>
        <w:spacing w:before="0" w:after="240" w:line="240" w:lineRule="auto"/>
      </w:pPr>
      <w:bookmarkStart w:id="9" w:name="_Toc82757114"/>
      <w:r>
        <w:t>External Speakers and Events</w:t>
      </w:r>
      <w:bookmarkEnd w:id="9"/>
    </w:p>
    <w:p w14:paraId="4A81DFEC" w14:textId="455D5B15" w:rsidR="009D0C38" w:rsidRPr="00A94447" w:rsidRDefault="00C3114A" w:rsidP="00375457">
      <w:pPr>
        <w:pStyle w:val="Heading2"/>
        <w:numPr>
          <w:ilvl w:val="1"/>
          <w:numId w:val="4"/>
        </w:numPr>
        <w:spacing w:before="0" w:after="240" w:line="240" w:lineRule="auto"/>
        <w:ind w:left="578" w:hanging="578"/>
      </w:pPr>
      <w:r w:rsidRPr="00DF7E91">
        <w:t xml:space="preserve">Cardiff Metropolitan University is committed to the principles of freedom of speech and complies with the requirements of Section 43 of the Education (No 2) Act 1986.  Procedures are outlined in the </w:t>
      </w:r>
      <w:hyperlink r:id="rId17" w:history="1">
        <w:r w:rsidRPr="00AE66FB">
          <w:rPr>
            <w:rStyle w:val="Hyperlink"/>
            <w:szCs w:val="24"/>
          </w:rPr>
          <w:t>University’s Code of Practice on Freedom of Speech</w:t>
        </w:r>
      </w:hyperlink>
      <w:r w:rsidRPr="00AE66FB">
        <w:rPr>
          <w:szCs w:val="24"/>
        </w:rPr>
        <w:t>. In complying with the Prevent Duty the University will not</w:t>
      </w:r>
      <w:r w:rsidRPr="00DF7E91">
        <w:t xml:space="preserve"> provide a platform for any proscribed terrorist organisation.</w:t>
      </w:r>
    </w:p>
    <w:p w14:paraId="603C72AB" w14:textId="209BC713" w:rsidR="00C3114A" w:rsidRPr="00A94447" w:rsidRDefault="00C3114A" w:rsidP="00375457">
      <w:pPr>
        <w:pStyle w:val="Heading2"/>
        <w:numPr>
          <w:ilvl w:val="1"/>
          <w:numId w:val="4"/>
        </w:numPr>
        <w:spacing w:before="0" w:after="240" w:line="240" w:lineRule="auto"/>
        <w:ind w:left="578" w:hanging="578"/>
        <w:rPr>
          <w:rFonts w:cs="Arial"/>
        </w:rPr>
      </w:pPr>
      <w:r w:rsidRPr="00DF7E91">
        <w:rPr>
          <w:rFonts w:cs="Arial"/>
        </w:rPr>
        <w:lastRenderedPageBreak/>
        <w:t xml:space="preserve">All internal bookings of rooms on campus will be made in accordance with the University’s room booking procedures. Any booking of Cardiff Metropolitan University facilities by, or on behalf of, an external person or organisation must be made subject to the Conditions of Hire of the University’s Facilities. All external </w:t>
      </w:r>
      <w:r w:rsidR="0000694C">
        <w:rPr>
          <w:rFonts w:cs="Arial"/>
        </w:rPr>
        <w:t xml:space="preserve">visiting </w:t>
      </w:r>
      <w:r w:rsidRPr="00DF7E91">
        <w:rPr>
          <w:rFonts w:cs="Arial"/>
        </w:rPr>
        <w:t>speakers at Cardiff Metropolitan University are required to comply with the University’s Code of Practice on Freedom of Speech and are required to adhere to the principles of equality as outlined in the University’s Equality, Diversity and Inclusion Policy.</w:t>
      </w:r>
    </w:p>
    <w:p w14:paraId="1EBEBB0E" w14:textId="15B92067" w:rsidR="009D0C38" w:rsidRPr="00A94447" w:rsidRDefault="00C3114A" w:rsidP="00375457">
      <w:pPr>
        <w:pStyle w:val="Heading2"/>
        <w:spacing w:before="0" w:after="240" w:line="240" w:lineRule="auto"/>
        <w:rPr>
          <w:rFonts w:cs="Arial"/>
        </w:rPr>
      </w:pPr>
      <w:r w:rsidRPr="00DF7E91">
        <w:rPr>
          <w:rFonts w:cs="Arial"/>
        </w:rPr>
        <w:t>Any external organisation with a political, philosophical, religious or spiritual affiliation who wishes to book on the University’s premises for the</w:t>
      </w:r>
      <w:r w:rsidRPr="001944AD">
        <w:rPr>
          <w:rFonts w:cs="Arial"/>
        </w:rPr>
        <w:t xml:space="preserve"> first</w:t>
      </w:r>
      <w:r w:rsidRPr="00DF7E91">
        <w:rPr>
          <w:rFonts w:cs="Arial"/>
        </w:rPr>
        <w:t xml:space="preserve"> time will be referred to the Prevent Co-ordinator for an initial assessment before the booking is taken.</w:t>
      </w:r>
    </w:p>
    <w:p w14:paraId="59614A77" w14:textId="73E70A1F" w:rsidR="00C3114A" w:rsidRPr="003D060C" w:rsidRDefault="00C3114A" w:rsidP="00375457">
      <w:pPr>
        <w:pStyle w:val="Heading2"/>
        <w:spacing w:before="0" w:after="240" w:line="240" w:lineRule="auto"/>
        <w:rPr>
          <w:b/>
          <w:bCs/>
        </w:rPr>
      </w:pPr>
      <w:r w:rsidRPr="003D060C">
        <w:t>The staff member who accepts room bookings on the University’s behalf will assess any external speakers previously accepted against a set of criteria which enables freedom of speech and protects vulnerable people from direct exposure to unchallenged extremist views that are counter to our commitment to both student and staff safety and equality and diversity. If they have any reason to think that the speaker or event constitutes a potential breach of these commitments, they will refer the case for advice from the University’s Prevent Co-ordinator.</w:t>
      </w:r>
    </w:p>
    <w:p w14:paraId="3C3C79CE" w14:textId="6FA5F63F" w:rsidR="00C3114A" w:rsidRPr="00A94447" w:rsidRDefault="00C3114A" w:rsidP="00375457">
      <w:pPr>
        <w:pStyle w:val="Heading2"/>
        <w:numPr>
          <w:ilvl w:val="1"/>
          <w:numId w:val="4"/>
        </w:numPr>
        <w:spacing w:before="0" w:after="240" w:line="240" w:lineRule="auto"/>
        <w:ind w:left="578" w:hanging="578"/>
        <w:rPr>
          <w:rFonts w:eastAsia="Calibri" w:cs="Arial"/>
        </w:rPr>
      </w:pPr>
      <w:r w:rsidRPr="00DF7E91">
        <w:rPr>
          <w:rFonts w:eastAsia="Calibri" w:cs="Arial"/>
        </w:rPr>
        <w:t xml:space="preserve">Student Societies who wish to host a </w:t>
      </w:r>
      <w:r w:rsidRPr="00DF7E91">
        <w:rPr>
          <w:rFonts w:cs="Arial"/>
        </w:rPr>
        <w:t xml:space="preserve">spiritual, philosophical or political event involving an external speaker will inform the Prevent Co-ordinator </w:t>
      </w:r>
      <w:r>
        <w:rPr>
          <w:rFonts w:cs="Arial"/>
        </w:rPr>
        <w:t>four</w:t>
      </w:r>
      <w:r w:rsidRPr="00DF7E91">
        <w:rPr>
          <w:rFonts w:cs="Arial"/>
        </w:rPr>
        <w:t xml:space="preserve"> weeks in advance of the proposed event in order to obtain the necessary permissions. This applie</w:t>
      </w:r>
      <w:r w:rsidR="008A59DC">
        <w:rPr>
          <w:rFonts w:cs="Arial"/>
        </w:rPr>
        <w:t>s</w:t>
      </w:r>
      <w:r w:rsidRPr="00DF7E91">
        <w:rPr>
          <w:rFonts w:cs="Arial"/>
        </w:rPr>
        <w:t xml:space="preserve"> to event</w:t>
      </w:r>
      <w:r w:rsidR="008A59DC">
        <w:rPr>
          <w:rFonts w:cs="Arial"/>
        </w:rPr>
        <w:t>s</w:t>
      </w:r>
      <w:r w:rsidRPr="00DF7E91">
        <w:rPr>
          <w:rFonts w:cs="Arial"/>
        </w:rPr>
        <w:t xml:space="preserve"> held on and off site.</w:t>
      </w:r>
    </w:p>
    <w:p w14:paraId="2C8AD5A7" w14:textId="76134AC9" w:rsidR="00C3114A" w:rsidRPr="00A94447" w:rsidRDefault="00C3114A" w:rsidP="00375457">
      <w:pPr>
        <w:pStyle w:val="Heading2"/>
        <w:numPr>
          <w:ilvl w:val="1"/>
          <w:numId w:val="4"/>
        </w:numPr>
        <w:spacing w:before="0" w:after="240" w:line="240" w:lineRule="auto"/>
        <w:ind w:left="578" w:hanging="578"/>
        <w:rPr>
          <w:rFonts w:cs="Arial"/>
        </w:rPr>
      </w:pPr>
      <w:r w:rsidRPr="00DF7E91">
        <w:rPr>
          <w:rFonts w:cs="Arial"/>
        </w:rPr>
        <w:t>Staff and student societies and groups arranging events online are encouraged to use Microsoft Teams and to closely manage attendees from outside the organisation. They are responsible for ensuring that all external speakers are made aware of the University’s Code of Practice on Freedom of Speech and the principles outlined in the University’s Equality, Diversity and Inclusion Policy. In situations where an online event organiser has reason to believe that a prospective external contributor may potentially be defined as an extremist, or is known to be a holder of extremist views, and/or is known to have previously contravened the principles outlined in the Equality and Diversity Policy, the situation will be referred to the Prevent Co-ordinator before the event is confirmed.</w:t>
      </w:r>
    </w:p>
    <w:p w14:paraId="7A81A89A" w14:textId="57FC357D" w:rsidR="00C3114A" w:rsidRDefault="00C3114A" w:rsidP="00375457">
      <w:pPr>
        <w:pStyle w:val="Heading2"/>
        <w:numPr>
          <w:ilvl w:val="1"/>
          <w:numId w:val="4"/>
        </w:numPr>
        <w:spacing w:before="0" w:after="240" w:line="240" w:lineRule="auto"/>
        <w:ind w:left="578" w:hanging="578"/>
      </w:pPr>
      <w:r w:rsidRPr="00CB535A">
        <w:t>When appropriate. the University’s Prevent Co-ordinator will seek expert guidance from external partners in reaching a recommendation regarding whether a proposed speaker or event should go permitted ahead, and/or to identify appropriate and proportionate control measures to mitigate any identified risks (for example in relation to security, providing a counter speaker to balance any argument, and/or to recommend an impartial chair to facilitate the event). The recommendation will be considered, and a decision made, by the chair of the University’s Prevent Group (or nominee). Any recommendation to cancel a speaker or event will normally only be approved on the advice of the police or security services.</w:t>
      </w:r>
    </w:p>
    <w:p w14:paraId="6763C738" w14:textId="5B49BEE0" w:rsidR="00023AAD" w:rsidRDefault="00C3114A" w:rsidP="00B24794">
      <w:pPr>
        <w:pStyle w:val="Heading2"/>
        <w:spacing w:before="0" w:after="240" w:line="240" w:lineRule="auto"/>
      </w:pPr>
      <w:r>
        <w:lastRenderedPageBreak/>
        <w:t xml:space="preserve">Any complaints that the University has not appropriately discharged its responsibilities in relation to freedom of speech and the Prevent Duty should be referred to the Director of Registry Services and considered under </w:t>
      </w:r>
      <w:r w:rsidRPr="006322B2">
        <w:t>the Complaints Policy and Procedure</w:t>
      </w:r>
      <w:r w:rsidR="006322B2">
        <w:t>.</w:t>
      </w:r>
    </w:p>
    <w:p w14:paraId="372C708B" w14:textId="77777777" w:rsidR="00B24794" w:rsidRPr="00B24794" w:rsidRDefault="00B24794" w:rsidP="00B24794">
      <w:pPr>
        <w:spacing w:after="0"/>
      </w:pPr>
    </w:p>
    <w:p w14:paraId="46EEAB79" w14:textId="5683BFCE" w:rsidR="00F9179B" w:rsidRDefault="00F9179B" w:rsidP="00375457">
      <w:pPr>
        <w:pStyle w:val="Heading1"/>
        <w:spacing w:before="0" w:after="240" w:line="240" w:lineRule="auto"/>
      </w:pPr>
      <w:bookmarkStart w:id="10" w:name="_Toc82757115"/>
      <w:bookmarkStart w:id="11" w:name="_Toc77936664"/>
      <w:r>
        <w:t xml:space="preserve">Identification, Support and </w:t>
      </w:r>
      <w:r w:rsidR="000D21E8">
        <w:t>R</w:t>
      </w:r>
      <w:r>
        <w:t>eferral of Vulnerable People</w:t>
      </w:r>
      <w:bookmarkEnd w:id="10"/>
    </w:p>
    <w:p w14:paraId="0B657CE9" w14:textId="3F7F8854" w:rsidR="00C07B57" w:rsidRPr="00DF7E91" w:rsidRDefault="00C07B57" w:rsidP="000F71D0">
      <w:pPr>
        <w:pStyle w:val="Heading2"/>
        <w:spacing w:before="0" w:after="240" w:line="240" w:lineRule="auto"/>
        <w:ind w:left="578" w:hanging="578"/>
      </w:pPr>
      <w:r w:rsidRPr="00DF7E91">
        <w:t xml:space="preserve">The University recognises the risk that members of our community may be targets for radicalisation by extremist groups, both face-to-face and in online environments, and we are committed to working with relevant agencies to address these risks. </w:t>
      </w:r>
    </w:p>
    <w:p w14:paraId="7F4BD541" w14:textId="143860C0" w:rsidR="00681AE3" w:rsidRPr="00681AE3" w:rsidRDefault="00C07B57" w:rsidP="000F71D0">
      <w:pPr>
        <w:pStyle w:val="Heading2"/>
        <w:spacing w:before="0" w:after="240" w:line="240" w:lineRule="auto"/>
        <w:ind w:left="578" w:hanging="578"/>
      </w:pPr>
      <w:r w:rsidRPr="00DF7E91">
        <w:t>We recognise that the isolation may be an additional and contributory risk factor for radicalisation.  In such circumstances we will take measures to endeavour to ensure continued and active engagement with the University so that we are better able to identify changes and when an individual may need additional support.</w:t>
      </w:r>
    </w:p>
    <w:p w14:paraId="31568919" w14:textId="77777777" w:rsidR="008163CC" w:rsidRDefault="00C07B57" w:rsidP="000F71D0">
      <w:pPr>
        <w:pStyle w:val="Heading2"/>
        <w:spacing w:before="0" w:after="240" w:line="240" w:lineRule="auto"/>
        <w:ind w:left="578" w:hanging="578"/>
      </w:pPr>
      <w:r w:rsidRPr="008163CC">
        <w:t xml:space="preserve">We will seek to identify vulnerable individuals within the University community at an early stage where possible and ensure they are given appropriate support and access to welfare services. The University’s responsibilities will </w:t>
      </w:r>
      <w:r w:rsidR="00E219F4" w:rsidRPr="008163CC">
        <w:t xml:space="preserve">normally </w:t>
      </w:r>
      <w:r w:rsidRPr="008163CC">
        <w:t>be managed through our existing safeguarding approach. It is important that our response is enabled by a safe and supportive environment and that positive relationships are fostered with the person concerned.</w:t>
      </w:r>
      <w:r w:rsidR="003C2A43" w:rsidRPr="008163CC">
        <w:t xml:space="preserve"> </w:t>
      </w:r>
    </w:p>
    <w:p w14:paraId="630B38B8" w14:textId="0E35D5DE" w:rsidR="008163CC" w:rsidRPr="008163CC" w:rsidRDefault="00047932" w:rsidP="000F71D0">
      <w:pPr>
        <w:pStyle w:val="Heading2"/>
        <w:spacing w:before="0" w:after="240" w:line="240" w:lineRule="auto"/>
        <w:ind w:left="578" w:hanging="578"/>
      </w:pPr>
      <w:r>
        <w:t>I</w:t>
      </w:r>
      <w:r w:rsidR="003C2A43">
        <w:t>t is recognised that some concerns</w:t>
      </w:r>
      <w:r w:rsidR="003620DA">
        <w:t xml:space="preserve"> about potential vulnerability to radicalisation may become apparent during </w:t>
      </w:r>
      <w:r w:rsidR="001676E7">
        <w:t xml:space="preserve">a </w:t>
      </w:r>
      <w:r w:rsidR="003620DA">
        <w:t xml:space="preserve">disciplinary </w:t>
      </w:r>
      <w:r w:rsidR="00BD745B">
        <w:t xml:space="preserve">or other </w:t>
      </w:r>
      <w:r w:rsidR="003620DA">
        <w:t>process</w:t>
      </w:r>
      <w:r w:rsidR="001676E7">
        <w:t xml:space="preserve">. In such circumstances, the </w:t>
      </w:r>
      <w:r w:rsidR="00DA33A3">
        <w:t>disciplinary</w:t>
      </w:r>
      <w:r w:rsidR="00281060">
        <w:t xml:space="preserve"> </w:t>
      </w:r>
      <w:r w:rsidR="00DA33A3">
        <w:t>investigation</w:t>
      </w:r>
      <w:r w:rsidR="00281060">
        <w:t xml:space="preserve"> </w:t>
      </w:r>
      <w:r w:rsidR="00C96FC6">
        <w:t xml:space="preserve">and action </w:t>
      </w:r>
      <w:r w:rsidR="00281060">
        <w:t xml:space="preserve">will </w:t>
      </w:r>
      <w:r w:rsidR="001F7F6A">
        <w:t>progress as nor</w:t>
      </w:r>
      <w:r w:rsidR="00175532">
        <w:t>mal</w:t>
      </w:r>
      <w:r w:rsidR="00C96FC6">
        <w:t>,</w:t>
      </w:r>
      <w:r w:rsidR="00281060">
        <w:t xml:space="preserve"> but this will not preclude the </w:t>
      </w:r>
      <w:r w:rsidR="001676E7">
        <w:t xml:space="preserve">Prevent risk </w:t>
      </w:r>
      <w:r w:rsidR="00281060">
        <w:t>being</w:t>
      </w:r>
      <w:r w:rsidR="001676E7">
        <w:t xml:space="preserve"> </w:t>
      </w:r>
      <w:r w:rsidR="00F11EDE">
        <w:t>assessed</w:t>
      </w:r>
      <w:r w:rsidR="00DA33A3">
        <w:t xml:space="preserve"> and any </w:t>
      </w:r>
      <w:r w:rsidR="00A77E46">
        <w:t>arising action (internal support or external referral) being taken.</w:t>
      </w:r>
    </w:p>
    <w:p w14:paraId="7B8ECADA" w14:textId="042CC1D5" w:rsidR="00C07B57" w:rsidRPr="00EC4180" w:rsidRDefault="00C07B57" w:rsidP="000F71D0">
      <w:pPr>
        <w:pStyle w:val="Heading2"/>
        <w:spacing w:before="0" w:after="240" w:line="240" w:lineRule="auto"/>
        <w:ind w:left="578" w:hanging="578"/>
      </w:pPr>
      <w:r w:rsidRPr="00DF7E91">
        <w:t>Any member of the University community who has a concern that a student may be at risk or abuse or exploitation should refer initially to Student Services through the usual Cause for Concern route.  Initial concerns that a staff member may be at risk should be referred to People Services.  The University is mindful that signs of vulnerability to extremism are common with signs of vulnerability to abuse in all its forms. In such cases, we are keen to understand the situation fully and put the welfare of the vulnerable person at the heart of our response and provide appropriate interventions.</w:t>
      </w:r>
    </w:p>
    <w:p w14:paraId="649367F9" w14:textId="1FAD18A6" w:rsidR="00C07B57" w:rsidRPr="008E427D" w:rsidRDefault="00C07B57" w:rsidP="000F71D0">
      <w:pPr>
        <w:pStyle w:val="Heading2"/>
        <w:spacing w:before="0" w:after="240" w:line="240" w:lineRule="auto"/>
        <w:ind w:left="578" w:hanging="578"/>
      </w:pPr>
      <w:r w:rsidRPr="00DF7E91">
        <w:t xml:space="preserve">In situations where there is evidence that a person is at risk of being drawn into violent extremism, the Prevent Co-ordinator will be contacted.  The Prevent Co-ordinator may consult with statutory authorities on an anonymised basis to seek advice. They will also call a University case conference to gather as much information as possible and undertake a risk analysis and will seek to reach an agreement on whether further internal interventions should be put in place or whether the risks are sufficiently high to necessitate an external referral into the </w:t>
      </w:r>
      <w:r w:rsidRPr="00DF7E91">
        <w:lastRenderedPageBreak/>
        <w:t>Channel process</w:t>
      </w:r>
      <w:r w:rsidRPr="00DF7E91">
        <w:rPr>
          <w:rStyle w:val="FootnoteReference"/>
          <w:rFonts w:cs="Arial"/>
        </w:rPr>
        <w:footnoteReference w:id="4"/>
      </w:r>
      <w:r w:rsidRPr="00DF7E91">
        <w:t>.  For student cases, the case conference would normally comprise individuals known to the student, e.g. a representative from their Academic School, and representatives from Student Services such as the Director of Student Services, Head of the Wellbeing Service and/or the University Co-ordinating Chaplain, as appropriate.</w:t>
      </w:r>
      <w:r>
        <w:t xml:space="preserve"> It would be normal practice to seek the individual’s input into the case conference process unless the view is taken that to do so may increase the risk of potential harm. This assessment will be made on a case-by-case basis.</w:t>
      </w:r>
    </w:p>
    <w:p w14:paraId="17A9B8DB" w14:textId="59837D70" w:rsidR="00C07B57" w:rsidRPr="008E427D" w:rsidRDefault="00C07B57" w:rsidP="000F71D0">
      <w:pPr>
        <w:pStyle w:val="Heading2"/>
        <w:spacing w:before="0" w:after="240" w:line="240" w:lineRule="auto"/>
        <w:ind w:left="578" w:hanging="578"/>
      </w:pPr>
      <w:r w:rsidRPr="00DF7E91">
        <w:t xml:space="preserve">The University would actively engage with the Channel intervention process for any individual accepted. </w:t>
      </w:r>
    </w:p>
    <w:p w14:paraId="65255B9C" w14:textId="2F303F0C" w:rsidR="00C07B57" w:rsidRDefault="00C07B57" w:rsidP="000F71D0">
      <w:pPr>
        <w:pStyle w:val="Heading2"/>
        <w:spacing w:before="0" w:after="240" w:line="240" w:lineRule="auto"/>
        <w:ind w:left="578" w:hanging="578"/>
      </w:pPr>
      <w:r w:rsidRPr="00DF7E91">
        <w:t xml:space="preserve">If there is a direct threat of physical harm to an individual or an immediate concern regarding a person’s physical wellbeing, the correct response is to call 999 and inform the </w:t>
      </w:r>
      <w:hyperlink r:id="rId18" w:history="1">
        <w:r w:rsidRPr="00AA2FF7">
          <w:rPr>
            <w:rStyle w:val="Hyperlink"/>
          </w:rPr>
          <w:t>University’s Prevent Co-ordinator</w:t>
        </w:r>
      </w:hyperlink>
      <w:r w:rsidRPr="00DF7E91">
        <w:t xml:space="preserve"> that you have done so.</w:t>
      </w:r>
    </w:p>
    <w:p w14:paraId="4E3EC6F7" w14:textId="77777777" w:rsidR="003B78B3" w:rsidRPr="003B78B3" w:rsidRDefault="003B78B3" w:rsidP="003B78B3">
      <w:pPr>
        <w:spacing w:after="0"/>
      </w:pPr>
    </w:p>
    <w:p w14:paraId="1F2E838C" w14:textId="26E111C5" w:rsidR="0034601D" w:rsidRDefault="004F51E7" w:rsidP="00375457">
      <w:pPr>
        <w:pStyle w:val="Heading1"/>
        <w:spacing w:before="0" w:after="240" w:line="240" w:lineRule="auto"/>
      </w:pPr>
      <w:bookmarkStart w:id="12" w:name="_Toc82757116"/>
      <w:r>
        <w:t>Students’ Union and Student Societies</w:t>
      </w:r>
      <w:bookmarkEnd w:id="12"/>
    </w:p>
    <w:p w14:paraId="2918D1E3" w14:textId="1BA638F6" w:rsidR="002C08EC" w:rsidRPr="00DF7E91" w:rsidRDefault="002C08EC" w:rsidP="00AA2FF7">
      <w:pPr>
        <w:pStyle w:val="Heading2"/>
        <w:spacing w:before="0" w:after="240" w:line="240" w:lineRule="auto"/>
      </w:pPr>
      <w:r w:rsidRPr="00DF7E91">
        <w:t>The University works in close partnership with the Students’ Union both formally and informally on day to day matters as part our shared commitment to deliver a safe learning environment and excellent student experience. We are committed to consulting with the Students’ Union on an ongoing basis regarding the implementation of the Prevent Duty at Cardiff Metropolitan.</w:t>
      </w:r>
    </w:p>
    <w:p w14:paraId="4AB15FBD" w14:textId="66BC71B9" w:rsidR="00F57835" w:rsidRDefault="002C08EC" w:rsidP="00375457">
      <w:pPr>
        <w:pStyle w:val="Heading2"/>
        <w:spacing w:before="0" w:after="240" w:line="240" w:lineRule="auto"/>
      </w:pPr>
      <w:r w:rsidRPr="00DF7E91">
        <w:t xml:space="preserve">The University expects that the Students’ Union will ensure that no religious, spiritual, philosophical or political event hosted by students will be permitted unless it is hosted by a recognised Students’ Union Society. In any Society wishes to hold such an event, it is expected that they will contact the Prevent Co-ordinator for the necessary approvals before the event is confirmed and more than </w:t>
      </w:r>
      <w:r w:rsidR="001309D4">
        <w:t>four</w:t>
      </w:r>
      <w:r w:rsidRPr="00DF7E91">
        <w:t xml:space="preserve"> weeks in advance of the proposed event.</w:t>
      </w:r>
    </w:p>
    <w:p w14:paraId="490426F9" w14:textId="77777777" w:rsidR="00AA2FF7" w:rsidRPr="00AA2FF7" w:rsidRDefault="00AA2FF7" w:rsidP="00AA2FF7">
      <w:pPr>
        <w:spacing w:after="0"/>
      </w:pPr>
    </w:p>
    <w:p w14:paraId="0A77A2B1" w14:textId="22F73EB6" w:rsidR="002C08EC" w:rsidRPr="00AA2FF7" w:rsidRDefault="002C08EC" w:rsidP="00AA2FF7">
      <w:pPr>
        <w:pStyle w:val="Heading1"/>
        <w:spacing w:before="0" w:after="240" w:line="240" w:lineRule="auto"/>
        <w:rPr>
          <w:rFonts w:eastAsia="Calibri"/>
        </w:rPr>
      </w:pPr>
      <w:bookmarkStart w:id="13" w:name="_Toc82757117"/>
      <w:r w:rsidRPr="00DF7E91">
        <w:t>Student Services</w:t>
      </w:r>
      <w:bookmarkEnd w:id="13"/>
    </w:p>
    <w:p w14:paraId="35EC6DFF" w14:textId="04187434" w:rsidR="002C08EC" w:rsidRDefault="002C08EC" w:rsidP="00375457">
      <w:pPr>
        <w:pStyle w:val="Heading2"/>
        <w:spacing w:before="0" w:after="240" w:line="240" w:lineRule="auto"/>
      </w:pPr>
      <w:r w:rsidRPr="00DF7E91">
        <w:t xml:space="preserve">We have a range of professional student support services, including Chaplaincy, and every student has a personal tutor.  The Co-ordinating Chaplain provides pastoral support in relation to faith/spirituality and bereavement.  The Students’ Union also provides welfare support. </w:t>
      </w:r>
    </w:p>
    <w:p w14:paraId="392E98DA" w14:textId="77777777" w:rsidR="00AA2FF7" w:rsidRPr="00AA2FF7" w:rsidRDefault="00AA2FF7" w:rsidP="00AA2FF7">
      <w:pPr>
        <w:spacing w:after="0"/>
      </w:pPr>
    </w:p>
    <w:p w14:paraId="4C6EF7D1" w14:textId="1C6C15C3" w:rsidR="002C08EC" w:rsidRPr="00AA2FF7" w:rsidRDefault="002C08EC" w:rsidP="00AA2FF7">
      <w:pPr>
        <w:pStyle w:val="Heading1"/>
        <w:spacing w:before="0" w:after="240" w:line="240" w:lineRule="auto"/>
      </w:pPr>
      <w:bookmarkStart w:id="14" w:name="_Toc82757118"/>
      <w:r w:rsidRPr="00DF7E91">
        <w:t>Space for Prayer and Reflection</w:t>
      </w:r>
      <w:bookmarkEnd w:id="14"/>
      <w:r w:rsidRPr="00DF7E91">
        <w:t xml:space="preserve"> </w:t>
      </w:r>
    </w:p>
    <w:p w14:paraId="42F2C947" w14:textId="4FCFD176" w:rsidR="002C08EC" w:rsidRPr="008F408E" w:rsidRDefault="002C08EC" w:rsidP="00375457">
      <w:pPr>
        <w:pStyle w:val="Heading2"/>
        <w:numPr>
          <w:ilvl w:val="1"/>
          <w:numId w:val="4"/>
        </w:numPr>
        <w:spacing w:before="0" w:after="240" w:line="240" w:lineRule="auto"/>
        <w:ind w:left="578" w:hanging="578"/>
      </w:pPr>
      <w:r w:rsidRPr="00DF7E91">
        <w:t xml:space="preserve">The University seeks to ensure that appropriate provision on both of its campuses is made for those of any faith (and those with none) to access appropriate facilities for pastoral care and for religious or spiritual purposes.  Space for prayer and reflection is managed by the Chaplaincy as part of </w:t>
      </w:r>
      <w:r w:rsidRPr="00DF7E91">
        <w:lastRenderedPageBreak/>
        <w:t xml:space="preserve">Student Services.  All prayer rooms are governed by a Prayer Room Protocol and are multi-faith. </w:t>
      </w:r>
    </w:p>
    <w:p w14:paraId="77208481" w14:textId="77777777" w:rsidR="002C08EC" w:rsidRPr="006D2194" w:rsidRDefault="002C08EC" w:rsidP="000909A0">
      <w:pPr>
        <w:spacing w:after="0" w:line="240" w:lineRule="auto"/>
        <w:rPr>
          <w:rFonts w:eastAsia="Calibri"/>
        </w:rPr>
      </w:pPr>
    </w:p>
    <w:p w14:paraId="448B0F69" w14:textId="30E0A749" w:rsidR="002C08EC" w:rsidRPr="000909A0" w:rsidRDefault="002C08EC" w:rsidP="000909A0">
      <w:pPr>
        <w:pStyle w:val="Heading1"/>
        <w:spacing w:before="0" w:after="240" w:line="240" w:lineRule="auto"/>
      </w:pPr>
      <w:bookmarkStart w:id="15" w:name="_Toc82757119"/>
      <w:r w:rsidRPr="00DF7E91">
        <w:t>Staff Training</w:t>
      </w:r>
      <w:bookmarkEnd w:id="15"/>
      <w:r w:rsidRPr="00DF7E91">
        <w:t xml:space="preserve"> </w:t>
      </w:r>
    </w:p>
    <w:p w14:paraId="5FA99512" w14:textId="416759F2" w:rsidR="002C08EC" w:rsidRPr="00DF7E91" w:rsidRDefault="002C08EC" w:rsidP="000909A0">
      <w:pPr>
        <w:pStyle w:val="Heading2"/>
        <w:spacing w:before="0" w:after="240" w:line="240" w:lineRule="auto"/>
      </w:pPr>
      <w:r w:rsidRPr="00DF7E91">
        <w:t xml:space="preserve">The University is committed to carrying out training on a regular basis for all relevant staff so that they can recognise those who are vulnerable of being drawn into violent extremism and potential signs of radicalisation. </w:t>
      </w:r>
    </w:p>
    <w:p w14:paraId="39F5054C" w14:textId="71F4CAC0" w:rsidR="002C08EC" w:rsidRPr="00DF7E91" w:rsidRDefault="002C08EC" w:rsidP="000909A0">
      <w:pPr>
        <w:pStyle w:val="Heading2"/>
        <w:spacing w:before="0" w:after="240" w:line="240" w:lineRule="auto"/>
      </w:pPr>
      <w:r w:rsidRPr="00DF7E91">
        <w:t xml:space="preserve">All new staff are expected to undertake an e-module on the Prevent Duty so that they know their personal responsibilities and how to make referrals. </w:t>
      </w:r>
    </w:p>
    <w:p w14:paraId="2C2ECD69" w14:textId="78AB1EA8" w:rsidR="002C08EC" w:rsidRPr="00DF7E91" w:rsidRDefault="002C08EC" w:rsidP="006D522C">
      <w:pPr>
        <w:pStyle w:val="Heading2"/>
        <w:spacing w:before="0" w:after="240" w:line="240" w:lineRule="auto"/>
      </w:pPr>
      <w:r w:rsidRPr="00DF7E91">
        <w:t>Bespoke in-depth training will be provided for student-facing staff, which will involve briefing on the current terrorist threat and risks pertinent to the University’s populatio</w:t>
      </w:r>
      <w:r>
        <w:t>n</w:t>
      </w:r>
      <w:r w:rsidRPr="00DF7E91">
        <w:t>. This training will be delivered on a need</w:t>
      </w:r>
      <w:r w:rsidR="006D522C">
        <w:t>s</w:t>
      </w:r>
      <w:r w:rsidRPr="00DF7E91">
        <w:t xml:space="preserve"> basis.</w:t>
      </w:r>
    </w:p>
    <w:p w14:paraId="1A8AF297" w14:textId="1AAC435D" w:rsidR="002C08EC" w:rsidRPr="00DF7E91" w:rsidRDefault="002C08EC" w:rsidP="00375457">
      <w:pPr>
        <w:pStyle w:val="Heading2"/>
        <w:spacing w:before="0" w:after="240" w:line="240" w:lineRule="auto"/>
      </w:pPr>
      <w:r w:rsidRPr="00DF7E91">
        <w:t xml:space="preserve">Annual briefing on legal compliance with the Duty and the University’s risk assessment will be provided for the senior management team and the Board of Governors. </w:t>
      </w:r>
    </w:p>
    <w:p w14:paraId="2ED8982C" w14:textId="77777777" w:rsidR="002C08EC" w:rsidRPr="00DF7E91" w:rsidRDefault="002C08EC" w:rsidP="006D522C">
      <w:pPr>
        <w:spacing w:after="0" w:line="240" w:lineRule="auto"/>
        <w:ind w:right="110"/>
        <w:rPr>
          <w:b/>
          <w:bCs/>
          <w:sz w:val="22"/>
        </w:rPr>
      </w:pPr>
    </w:p>
    <w:p w14:paraId="6C441595" w14:textId="3010A01B" w:rsidR="002C08EC" w:rsidRPr="006D522C" w:rsidRDefault="002C08EC" w:rsidP="006D522C">
      <w:pPr>
        <w:pStyle w:val="Heading1"/>
        <w:spacing w:before="0" w:after="240" w:line="240" w:lineRule="auto"/>
      </w:pPr>
      <w:bookmarkStart w:id="16" w:name="_Toc82757120"/>
      <w:r w:rsidRPr="00DF7E91">
        <w:t>Communications</w:t>
      </w:r>
      <w:bookmarkEnd w:id="16"/>
    </w:p>
    <w:p w14:paraId="0AFCD6C4" w14:textId="4CA9A193" w:rsidR="002C08EC" w:rsidRPr="00DF7E91" w:rsidRDefault="002C08EC" w:rsidP="00375457">
      <w:pPr>
        <w:pStyle w:val="Heading2"/>
        <w:spacing w:before="0" w:after="240" w:line="240" w:lineRule="auto"/>
      </w:pPr>
      <w:r w:rsidRPr="00DF7E91">
        <w:t>We will not permit material supporting violent extremism to be displayed within University premises, on the University’s website or in its communications.  We will investigate immediately if any is found. It is, however, acknowledged that there will be legitimate reasons to display materials relating to terrorism or violent extremism as part of legitimate teaching and research activities</w:t>
      </w:r>
      <w:r w:rsidR="00144DEA">
        <w:t>.</w:t>
      </w:r>
    </w:p>
    <w:p w14:paraId="4F6F1063" w14:textId="77777777" w:rsidR="00001C83" w:rsidRPr="00001C83" w:rsidRDefault="00001C83" w:rsidP="006D522C">
      <w:pPr>
        <w:spacing w:after="0" w:line="240" w:lineRule="auto"/>
      </w:pPr>
    </w:p>
    <w:p w14:paraId="1FA2DDBF" w14:textId="794EBA44" w:rsidR="002C08EC" w:rsidRPr="006D522C" w:rsidRDefault="002C08EC" w:rsidP="006D522C">
      <w:pPr>
        <w:pStyle w:val="Heading1"/>
        <w:spacing w:before="0" w:after="240" w:line="240" w:lineRule="auto"/>
      </w:pPr>
      <w:bookmarkStart w:id="17" w:name="_Toc82757121"/>
      <w:r w:rsidRPr="00DF7E91">
        <w:t>Security Sensitive Research</w:t>
      </w:r>
      <w:bookmarkEnd w:id="17"/>
      <w:r w:rsidRPr="00DF7E91">
        <w:t xml:space="preserve"> </w:t>
      </w:r>
    </w:p>
    <w:p w14:paraId="71FEAFE7" w14:textId="6729DB33" w:rsidR="002C08EC" w:rsidRDefault="002C08EC" w:rsidP="00375457">
      <w:pPr>
        <w:pStyle w:val="Heading2"/>
        <w:spacing w:before="0" w:after="240" w:line="240" w:lineRule="auto"/>
      </w:pPr>
      <w:r w:rsidRPr="00DF7E91">
        <w:t>Staff wishing to undertake any research into an extremism-related field will be required to go through the normal ethical review process.  This process will determine the potential risks to the organisation, the safety and wellbeing of the participants and researchers, and identify the necessary legal and ethical requirements.</w:t>
      </w:r>
    </w:p>
    <w:p w14:paraId="4BCB31C8" w14:textId="77777777" w:rsidR="00B96BC5" w:rsidRPr="00B96BC5" w:rsidRDefault="00B96BC5" w:rsidP="006D522C">
      <w:pPr>
        <w:spacing w:after="0" w:line="240" w:lineRule="auto"/>
      </w:pPr>
    </w:p>
    <w:p w14:paraId="26C29B03" w14:textId="57DEC114" w:rsidR="002C08EC" w:rsidRPr="006D522C" w:rsidRDefault="002C08EC" w:rsidP="006D522C">
      <w:pPr>
        <w:pStyle w:val="Heading1"/>
        <w:spacing w:before="0" w:after="240" w:line="240" w:lineRule="auto"/>
      </w:pPr>
      <w:bookmarkStart w:id="18" w:name="_Toc82757122"/>
      <w:r w:rsidRPr="00DF7E91">
        <w:t>Information Technology</w:t>
      </w:r>
      <w:bookmarkEnd w:id="18"/>
    </w:p>
    <w:p w14:paraId="12C18BAC" w14:textId="6BC2B290" w:rsidR="002C08EC" w:rsidRPr="00DF7E91" w:rsidRDefault="002C08EC" w:rsidP="00375457">
      <w:pPr>
        <w:pStyle w:val="Heading2"/>
        <w:spacing w:before="0" w:after="240" w:line="240" w:lineRule="auto"/>
      </w:pPr>
      <w:r w:rsidRPr="00DF7E91">
        <w:t>We consider it unacceptable for our IT networks to be used in any way that supports, promotes or facilitates terrorism. We reference</w:t>
      </w:r>
      <w:r w:rsidR="00D916A5">
        <w:t xml:space="preserve"> the</w:t>
      </w:r>
      <w:r w:rsidRPr="00DF7E91">
        <w:t xml:space="preserve"> Prevent </w:t>
      </w:r>
      <w:r w:rsidR="00D916A5">
        <w:t xml:space="preserve">Duty </w:t>
      </w:r>
      <w:r w:rsidRPr="00DF7E91">
        <w:t>in our relevant IT policies and will keep under review the possible use of filters as a means of restricting access to content covered by the Prevent Duty as part of our ongoing risk assessment process.</w:t>
      </w:r>
    </w:p>
    <w:p w14:paraId="26180733" w14:textId="77777777" w:rsidR="002C08EC" w:rsidRPr="00DF7E91" w:rsidRDefault="002C08EC" w:rsidP="00375457">
      <w:pPr>
        <w:spacing w:after="240" w:line="240" w:lineRule="auto"/>
        <w:rPr>
          <w:sz w:val="22"/>
        </w:rPr>
      </w:pPr>
    </w:p>
    <w:p w14:paraId="02D8EE79" w14:textId="77777777" w:rsidR="002C08EC" w:rsidRPr="00DF7E91" w:rsidRDefault="002C08EC" w:rsidP="00375457">
      <w:pPr>
        <w:spacing w:after="240" w:line="240" w:lineRule="auto"/>
        <w:rPr>
          <w:sz w:val="22"/>
        </w:rPr>
      </w:pPr>
    </w:p>
    <w:p w14:paraId="7C8ACEEE" w14:textId="461E6BD9" w:rsidR="002C08EC" w:rsidRPr="006D522C" w:rsidRDefault="002C08EC" w:rsidP="006D522C">
      <w:pPr>
        <w:pStyle w:val="Heading1"/>
        <w:spacing w:before="0" w:after="240" w:line="240" w:lineRule="auto"/>
      </w:pPr>
      <w:bookmarkStart w:id="19" w:name="_Toc82757123"/>
      <w:r w:rsidRPr="00DF7E91">
        <w:lastRenderedPageBreak/>
        <w:t>Information Sharing</w:t>
      </w:r>
      <w:bookmarkEnd w:id="19"/>
      <w:r w:rsidRPr="00DF7E91">
        <w:t xml:space="preserve"> </w:t>
      </w:r>
    </w:p>
    <w:p w14:paraId="743178A5" w14:textId="70C7320C" w:rsidR="002C08EC" w:rsidRPr="00DF7E91" w:rsidRDefault="002C08EC" w:rsidP="00375457">
      <w:pPr>
        <w:pStyle w:val="Heading2"/>
        <w:spacing w:before="0" w:after="240" w:line="240" w:lineRule="auto"/>
      </w:pPr>
      <w:r w:rsidRPr="00DF7E91">
        <w:t xml:space="preserve">The University is aware of the Channel process and of the opportunities for informal and formal sharing of information with relevant authorities. We will use these when we consider it is necessary and appropriate to do so in the interests of preventing people from being drawn into terrorism. Information sharing will only take place with external authorities when this is consistent with the provisions of the </w:t>
      </w:r>
      <w:r w:rsidR="0042103B">
        <w:t>General Data Protection Regulation</w:t>
      </w:r>
      <w:r w:rsidRPr="00DF7E91">
        <w:t xml:space="preserve">. </w:t>
      </w:r>
    </w:p>
    <w:p w14:paraId="6AE4E918" w14:textId="77777777" w:rsidR="002C08EC" w:rsidRDefault="002C08EC" w:rsidP="0042103B">
      <w:pPr>
        <w:spacing w:after="0" w:line="240" w:lineRule="auto"/>
        <w:ind w:right="110"/>
        <w:rPr>
          <w:color w:val="808080"/>
          <w:sz w:val="22"/>
        </w:rPr>
      </w:pPr>
    </w:p>
    <w:p w14:paraId="227C1FA3" w14:textId="21BDF754" w:rsidR="002C08EC" w:rsidRPr="0042103B" w:rsidRDefault="002C08EC" w:rsidP="0042103B">
      <w:pPr>
        <w:pStyle w:val="Heading1"/>
        <w:spacing w:before="0" w:after="240" w:line="240" w:lineRule="auto"/>
      </w:pPr>
      <w:bookmarkStart w:id="20" w:name="_Toc82757124"/>
      <w:r w:rsidRPr="00DF7E91">
        <w:t>Prevent Duty Co-ordination Group</w:t>
      </w:r>
      <w:bookmarkEnd w:id="20"/>
    </w:p>
    <w:p w14:paraId="0ED67740" w14:textId="77777777" w:rsidR="002C08EC" w:rsidRPr="00DF7E91" w:rsidRDefault="002C08EC" w:rsidP="00375457">
      <w:pPr>
        <w:pStyle w:val="ListParagraph"/>
        <w:spacing w:after="240" w:line="240" w:lineRule="auto"/>
        <w:ind w:left="567" w:right="110" w:hanging="567"/>
        <w:rPr>
          <w:rFonts w:cs="Arial"/>
        </w:rPr>
      </w:pPr>
      <w:r w:rsidRPr="00DF7E91">
        <w:rPr>
          <w:rFonts w:cs="Arial"/>
        </w:rPr>
        <w:t>1</w:t>
      </w:r>
      <w:r>
        <w:rPr>
          <w:rFonts w:cs="Arial"/>
        </w:rPr>
        <w:t>5</w:t>
      </w:r>
      <w:r w:rsidRPr="00DF7E91">
        <w:rPr>
          <w:rFonts w:cs="Arial"/>
        </w:rPr>
        <w:t>.1</w:t>
      </w:r>
      <w:r w:rsidRPr="00DF7E91">
        <w:rPr>
          <w:rFonts w:cs="Arial"/>
        </w:rPr>
        <w:tab/>
        <w:t>The University’s Prevent Duty Co-ordination Group meets three times a year in order to have oversight of the institution’s compliance responsibilities with regards to Prevent, including its policies and procedures, and will keep under review the University Prevent risk assessment and progress against the action plan, and any other related issues.</w:t>
      </w:r>
    </w:p>
    <w:p w14:paraId="54A98D38" w14:textId="77777777" w:rsidR="002C08EC" w:rsidRPr="00DF7E91" w:rsidRDefault="002C08EC" w:rsidP="00375457">
      <w:pPr>
        <w:pStyle w:val="ListParagraph"/>
        <w:spacing w:after="240" w:line="240" w:lineRule="auto"/>
        <w:ind w:left="567" w:right="110" w:hanging="567"/>
        <w:rPr>
          <w:rFonts w:cs="Arial"/>
        </w:rPr>
      </w:pPr>
    </w:p>
    <w:p w14:paraId="079B7550" w14:textId="1ECD6073" w:rsidR="002C08EC" w:rsidRPr="00DF7E91" w:rsidRDefault="002C08EC" w:rsidP="00375457">
      <w:pPr>
        <w:pStyle w:val="ListParagraph"/>
        <w:spacing w:after="240" w:line="240" w:lineRule="auto"/>
        <w:ind w:left="567" w:right="110" w:hanging="567"/>
        <w:rPr>
          <w:rFonts w:cs="Arial"/>
        </w:rPr>
      </w:pPr>
      <w:r w:rsidRPr="00DF7E91">
        <w:rPr>
          <w:rFonts w:cs="Arial"/>
        </w:rPr>
        <w:t>1</w:t>
      </w:r>
      <w:r>
        <w:rPr>
          <w:rFonts w:cs="Arial"/>
        </w:rPr>
        <w:t>5</w:t>
      </w:r>
      <w:r w:rsidRPr="00DF7E91">
        <w:rPr>
          <w:rFonts w:cs="Arial"/>
        </w:rPr>
        <w:t>.2</w:t>
      </w:r>
      <w:r w:rsidRPr="00DF7E91">
        <w:rPr>
          <w:rFonts w:cs="Arial"/>
        </w:rPr>
        <w:tab/>
      </w:r>
      <w:r w:rsidR="0078788C" w:rsidRPr="0078788C">
        <w:rPr>
          <w:rFonts w:cs="Arial"/>
        </w:rPr>
        <w:t>The Group is chaired by the University Secretary and Clerk to the Board of Governors, and its members include relevant senior staff from schools, professional services and the Students’ Union.</w:t>
      </w:r>
    </w:p>
    <w:p w14:paraId="71F03AFA" w14:textId="77777777" w:rsidR="002C08EC" w:rsidRPr="00DF7E91" w:rsidRDefault="002C08EC" w:rsidP="00375457">
      <w:pPr>
        <w:pStyle w:val="ListParagraph"/>
        <w:spacing w:after="240" w:line="240" w:lineRule="auto"/>
        <w:ind w:left="567" w:right="110" w:hanging="567"/>
        <w:rPr>
          <w:rFonts w:cs="Arial"/>
        </w:rPr>
      </w:pPr>
    </w:p>
    <w:p w14:paraId="13C95C19" w14:textId="50E87C95" w:rsidR="0034601D" w:rsidRPr="008A1085" w:rsidRDefault="002C08EC" w:rsidP="00375457">
      <w:pPr>
        <w:pStyle w:val="ListParagraph"/>
        <w:spacing w:after="240" w:line="240" w:lineRule="auto"/>
        <w:ind w:left="567" w:right="110" w:hanging="567"/>
        <w:rPr>
          <w:rFonts w:cs="Arial"/>
        </w:rPr>
      </w:pPr>
      <w:r w:rsidRPr="00DF7E91">
        <w:rPr>
          <w:rFonts w:cs="Arial"/>
        </w:rPr>
        <w:t>1</w:t>
      </w:r>
      <w:r>
        <w:rPr>
          <w:rFonts w:cs="Arial"/>
        </w:rPr>
        <w:t>5</w:t>
      </w:r>
      <w:r w:rsidRPr="00DF7E91">
        <w:rPr>
          <w:rFonts w:cs="Arial"/>
        </w:rPr>
        <w:t>.3</w:t>
      </w:r>
      <w:r w:rsidRPr="00DF7E91">
        <w:rPr>
          <w:rFonts w:cs="Arial"/>
        </w:rPr>
        <w:tab/>
        <w:t>It will receive and consider an Annual Report from the Prevent Co-ordinator, which will include information on referrals made. This will be shared with the Board of Governors.</w:t>
      </w:r>
    </w:p>
    <w:p w14:paraId="39EFA463" w14:textId="77777777" w:rsidR="0034601D" w:rsidRDefault="0034601D" w:rsidP="0042103B">
      <w:pPr>
        <w:pStyle w:val="Heading1"/>
        <w:numPr>
          <w:ilvl w:val="0"/>
          <w:numId w:val="0"/>
        </w:numPr>
        <w:spacing w:before="0" w:line="240" w:lineRule="auto"/>
      </w:pPr>
    </w:p>
    <w:p w14:paraId="7D8D1F6F" w14:textId="2C780A8F" w:rsidR="008A1085" w:rsidRDefault="00ED19D8" w:rsidP="0042103B">
      <w:pPr>
        <w:pStyle w:val="Heading1"/>
        <w:spacing w:before="0" w:after="240" w:line="240" w:lineRule="auto"/>
      </w:pPr>
      <w:bookmarkStart w:id="21" w:name="_Toc82757125"/>
      <w:r>
        <w:t>Review</w:t>
      </w:r>
      <w:r w:rsidR="00DE4000">
        <w:t xml:space="preserve"> and </w:t>
      </w:r>
      <w:r>
        <w:t>Approva</w:t>
      </w:r>
      <w:r w:rsidR="00DE4000">
        <w:t>l</w:t>
      </w:r>
      <w:bookmarkEnd w:id="11"/>
      <w:bookmarkEnd w:id="21"/>
    </w:p>
    <w:p w14:paraId="33F071EC" w14:textId="464C961A" w:rsidR="008627B3" w:rsidRPr="008627B3" w:rsidRDefault="009A23C1" w:rsidP="00375457">
      <w:pPr>
        <w:pStyle w:val="Heading2"/>
        <w:spacing w:before="0" w:after="240" w:line="240" w:lineRule="auto"/>
      </w:pPr>
      <w:r>
        <w:t>The Prevent Co-ordinator</w:t>
      </w:r>
      <w:r w:rsidR="00AC25C9">
        <w:t xml:space="preserve"> is</w:t>
      </w:r>
      <w:r>
        <w:t xml:space="preserve"> respo</w:t>
      </w:r>
      <w:r w:rsidR="00656BA8">
        <w:t>n</w:t>
      </w:r>
      <w:r>
        <w:t xml:space="preserve">sible for </w:t>
      </w:r>
      <w:r w:rsidR="00656BA8">
        <w:t>reviewing</w:t>
      </w:r>
      <w:r>
        <w:t xml:space="preserve"> the Policy every three years unless ch</w:t>
      </w:r>
      <w:r w:rsidR="00656BA8">
        <w:t>an</w:t>
      </w:r>
      <w:r>
        <w:t xml:space="preserve">ges in legislation, statutory guidance, or the </w:t>
      </w:r>
      <w:r w:rsidR="00656BA8">
        <w:t>terror risk</w:t>
      </w:r>
      <w:r>
        <w:t xml:space="preserve"> necessitate earlier review</w:t>
      </w:r>
      <w:r w:rsidR="000E449E">
        <w:t xml:space="preserve">.  </w:t>
      </w:r>
      <w:r w:rsidR="00FA2D46">
        <w:t xml:space="preserve">Approval is granted by the </w:t>
      </w:r>
      <w:r w:rsidR="00015E84">
        <w:t>Prevent Duty Co-ordination Group.</w:t>
      </w:r>
    </w:p>
    <w:p w14:paraId="6A1C6B10" w14:textId="32AA77AA" w:rsidR="00ED6897" w:rsidRDefault="00ED6897" w:rsidP="00375457">
      <w:pPr>
        <w:spacing w:after="240" w:line="240" w:lineRule="auto"/>
      </w:pPr>
    </w:p>
    <w:sectPr w:rsidR="00ED6897"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191A" w14:textId="77777777" w:rsidR="000278B4" w:rsidRDefault="000278B4" w:rsidP="003B0CD4">
      <w:pPr>
        <w:spacing w:after="0" w:line="240" w:lineRule="auto"/>
      </w:pPr>
      <w:r>
        <w:separator/>
      </w:r>
    </w:p>
  </w:endnote>
  <w:endnote w:type="continuationSeparator" w:id="0">
    <w:p w14:paraId="06217CA0" w14:textId="77777777" w:rsidR="000278B4" w:rsidRDefault="000278B4"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8249" w14:textId="77777777" w:rsidR="000278B4" w:rsidRDefault="000278B4" w:rsidP="003B0CD4">
      <w:pPr>
        <w:spacing w:after="0" w:line="240" w:lineRule="auto"/>
      </w:pPr>
      <w:r>
        <w:separator/>
      </w:r>
    </w:p>
  </w:footnote>
  <w:footnote w:type="continuationSeparator" w:id="0">
    <w:p w14:paraId="40794A2E" w14:textId="77777777" w:rsidR="000278B4" w:rsidRDefault="000278B4" w:rsidP="003B0CD4">
      <w:pPr>
        <w:spacing w:after="0" w:line="240" w:lineRule="auto"/>
      </w:pPr>
      <w:r>
        <w:continuationSeparator/>
      </w:r>
    </w:p>
  </w:footnote>
  <w:footnote w:id="1">
    <w:p w14:paraId="704F6B58" w14:textId="30BB3AE4" w:rsidR="002D5E57" w:rsidRDefault="002D5E57">
      <w:pPr>
        <w:pStyle w:val="FootnoteText"/>
      </w:pPr>
      <w:r>
        <w:rPr>
          <w:rStyle w:val="FootnoteReference"/>
        </w:rPr>
        <w:footnoteRef/>
      </w:r>
      <w:r>
        <w:t xml:space="preserve"> </w:t>
      </w:r>
      <w:hyperlink r:id="rId1" w:history="1">
        <w:r w:rsidR="00BB4B9D" w:rsidRPr="00637599">
          <w:rPr>
            <w:rStyle w:val="Hyperlink"/>
          </w:rPr>
          <w:t>https://www.gov.uk/government/collections/counter-terrorism-and-security-bill</w:t>
        </w:r>
      </w:hyperlink>
      <w:r w:rsidR="00BB4B9D">
        <w:rPr>
          <w:rStyle w:val="Hyperlink"/>
        </w:rPr>
        <w:t xml:space="preserve"> </w:t>
      </w:r>
    </w:p>
  </w:footnote>
  <w:footnote w:id="2">
    <w:p w14:paraId="454BCAFB" w14:textId="68271395" w:rsidR="006E0277" w:rsidRDefault="006E0277">
      <w:pPr>
        <w:pStyle w:val="FootnoteText"/>
      </w:pPr>
      <w:r>
        <w:rPr>
          <w:rStyle w:val="FootnoteReference"/>
        </w:rPr>
        <w:footnoteRef/>
      </w:r>
      <w:r>
        <w:t xml:space="preserve"> </w:t>
      </w:r>
      <w:hyperlink r:id="rId2" w:history="1">
        <w:r w:rsidR="00E24738" w:rsidRPr="00637599">
          <w:rPr>
            <w:rStyle w:val="Hyperlink"/>
            <w:rFonts w:cs="Arial"/>
          </w:rPr>
          <w:t>https://www.gov.uk/government/publications/prevent-duty-guidance/prevent-duty-guidance-for-higher-education-institutions-in-england-and-wales</w:t>
        </w:r>
      </w:hyperlink>
      <w:r w:rsidR="00E24738">
        <w:rPr>
          <w:rStyle w:val="Hyperlink"/>
          <w:rFonts w:cs="Arial"/>
        </w:rPr>
        <w:t xml:space="preserve"> </w:t>
      </w:r>
    </w:p>
  </w:footnote>
  <w:footnote w:id="3">
    <w:p w14:paraId="04C0CBD0" w14:textId="77777777" w:rsidR="00EF1E98" w:rsidRDefault="00EF1E98" w:rsidP="00EF1E98">
      <w:pPr>
        <w:pStyle w:val="FootnoteText"/>
      </w:pPr>
      <w:r>
        <w:rPr>
          <w:rStyle w:val="FootnoteReference"/>
        </w:rPr>
        <w:footnoteRef/>
      </w:r>
      <w:r>
        <w:t xml:space="preserve"> </w:t>
      </w:r>
      <w:hyperlink r:id="rId3" w:history="1">
        <w:r w:rsidRPr="007D2A98">
          <w:rPr>
            <w:rStyle w:val="Hyperlink"/>
          </w:rPr>
          <w:t>https://www.gov.uk/government/publications/prevent-duty-guidance/prevent-duty-guidance-for-higher-education-institutions-in-england-and-wales</w:t>
        </w:r>
      </w:hyperlink>
    </w:p>
    <w:p w14:paraId="7357A41B" w14:textId="77777777" w:rsidR="00EF1E98" w:rsidRDefault="00EF1E98" w:rsidP="00EF1E98">
      <w:pPr>
        <w:pStyle w:val="FootnoteText"/>
      </w:pPr>
    </w:p>
  </w:footnote>
  <w:footnote w:id="4">
    <w:p w14:paraId="65385666" w14:textId="77777777" w:rsidR="00C07B57" w:rsidRDefault="00C07B57" w:rsidP="00C07B57">
      <w:pPr>
        <w:pStyle w:val="FootnoteText"/>
      </w:pPr>
      <w:r>
        <w:rPr>
          <w:rStyle w:val="FootnoteReference"/>
        </w:rPr>
        <w:footnoteRef/>
      </w:r>
      <w:r>
        <w:t xml:space="preserve"> </w:t>
      </w:r>
      <w:hyperlink r:id="rId4" w:history="1">
        <w:r w:rsidRPr="00F96CAC">
          <w:rPr>
            <w:rStyle w:val="Hyperlink"/>
          </w:rPr>
          <w:t>https://www.gov.uk/government/publications/channel-guidance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33CE6"/>
    <w:multiLevelType w:val="hybridMultilevel"/>
    <w:tmpl w:val="4EC8D9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641B4"/>
    <w:multiLevelType w:val="multilevel"/>
    <w:tmpl w:val="F77E5F44"/>
    <w:lvl w:ilvl="0">
      <w:start w:val="5"/>
      <w:numFmt w:val="decimal"/>
      <w:lvlText w:val="%1."/>
      <w:lvlJc w:val="left"/>
      <w:pPr>
        <w:ind w:left="720"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8690A"/>
    <w:multiLevelType w:val="hybridMultilevel"/>
    <w:tmpl w:val="F9B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3"/>
  </w:num>
  <w:num w:numId="3">
    <w:abstractNumId w:val="15"/>
  </w:num>
  <w:num w:numId="4">
    <w:abstractNumId w:val="20"/>
  </w:num>
  <w:num w:numId="5">
    <w:abstractNumId w:val="14"/>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17"/>
  </w:num>
  <w:num w:numId="23">
    <w:abstractNumId w:val="19"/>
  </w:num>
  <w:num w:numId="24">
    <w:abstractNumId w:val="10"/>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1" w:cryptProviderType="rsaAES" w:cryptAlgorithmClass="hash" w:cryptAlgorithmType="typeAny" w:cryptAlgorithmSid="14" w:cryptSpinCount="100000" w:hash="Q4RpXQJFaC/5Q2alsRDCleRGZo/5VWx8WRYId2hHmHGKidaZbiOA/yM6Kh/mIznPRu9wTYmyXQoRS+PjJk3uNg==" w:salt="xBdvlV2rvW035k/6kftb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0F2"/>
    <w:rsid w:val="00001C83"/>
    <w:rsid w:val="0000694C"/>
    <w:rsid w:val="00006C1E"/>
    <w:rsid w:val="00007C1F"/>
    <w:rsid w:val="00015CC3"/>
    <w:rsid w:val="00015E84"/>
    <w:rsid w:val="00023AAD"/>
    <w:rsid w:val="00023DAB"/>
    <w:rsid w:val="000278B4"/>
    <w:rsid w:val="00034C64"/>
    <w:rsid w:val="0003525D"/>
    <w:rsid w:val="000423C2"/>
    <w:rsid w:val="00043BCC"/>
    <w:rsid w:val="00047932"/>
    <w:rsid w:val="00067966"/>
    <w:rsid w:val="00075393"/>
    <w:rsid w:val="00084894"/>
    <w:rsid w:val="000909A0"/>
    <w:rsid w:val="0009597B"/>
    <w:rsid w:val="00096435"/>
    <w:rsid w:val="000968FE"/>
    <w:rsid w:val="000C5048"/>
    <w:rsid w:val="000D0B2C"/>
    <w:rsid w:val="000D21E8"/>
    <w:rsid w:val="000D23F4"/>
    <w:rsid w:val="000D3EF5"/>
    <w:rsid w:val="000E449E"/>
    <w:rsid w:val="000F0838"/>
    <w:rsid w:val="000F13D6"/>
    <w:rsid w:val="000F360F"/>
    <w:rsid w:val="000F3FF4"/>
    <w:rsid w:val="000F71D0"/>
    <w:rsid w:val="0012564B"/>
    <w:rsid w:val="00127B28"/>
    <w:rsid w:val="001309D4"/>
    <w:rsid w:val="00130BA3"/>
    <w:rsid w:val="0013304E"/>
    <w:rsid w:val="0013607D"/>
    <w:rsid w:val="001367FE"/>
    <w:rsid w:val="001420C5"/>
    <w:rsid w:val="00144DEA"/>
    <w:rsid w:val="00147FDA"/>
    <w:rsid w:val="0015225C"/>
    <w:rsid w:val="00161EDB"/>
    <w:rsid w:val="001676E7"/>
    <w:rsid w:val="00173BD4"/>
    <w:rsid w:val="00173FF8"/>
    <w:rsid w:val="00175532"/>
    <w:rsid w:val="00176A6B"/>
    <w:rsid w:val="001944AD"/>
    <w:rsid w:val="00194CEC"/>
    <w:rsid w:val="001A52A7"/>
    <w:rsid w:val="001A7F68"/>
    <w:rsid w:val="001B4E9E"/>
    <w:rsid w:val="001B6874"/>
    <w:rsid w:val="001C0E14"/>
    <w:rsid w:val="001C1AC9"/>
    <w:rsid w:val="001D589B"/>
    <w:rsid w:val="001D610B"/>
    <w:rsid w:val="001E196D"/>
    <w:rsid w:val="001E54DD"/>
    <w:rsid w:val="001E5EDD"/>
    <w:rsid w:val="001F481D"/>
    <w:rsid w:val="001F5E5B"/>
    <w:rsid w:val="001F7F6A"/>
    <w:rsid w:val="00215570"/>
    <w:rsid w:val="002345B6"/>
    <w:rsid w:val="00234E7D"/>
    <w:rsid w:val="00251583"/>
    <w:rsid w:val="00260329"/>
    <w:rsid w:val="00261178"/>
    <w:rsid w:val="002625CF"/>
    <w:rsid w:val="00263057"/>
    <w:rsid w:val="00276D78"/>
    <w:rsid w:val="00280E27"/>
    <w:rsid w:val="00281060"/>
    <w:rsid w:val="002C08EC"/>
    <w:rsid w:val="002D5E57"/>
    <w:rsid w:val="002E408E"/>
    <w:rsid w:val="002F3B5B"/>
    <w:rsid w:val="003053F3"/>
    <w:rsid w:val="00310A76"/>
    <w:rsid w:val="0031658A"/>
    <w:rsid w:val="003205F6"/>
    <w:rsid w:val="0032264E"/>
    <w:rsid w:val="0033086D"/>
    <w:rsid w:val="0033551C"/>
    <w:rsid w:val="0034601D"/>
    <w:rsid w:val="00351D20"/>
    <w:rsid w:val="003526E4"/>
    <w:rsid w:val="00355BB4"/>
    <w:rsid w:val="003620DA"/>
    <w:rsid w:val="00367FE6"/>
    <w:rsid w:val="003703D0"/>
    <w:rsid w:val="00372719"/>
    <w:rsid w:val="00375457"/>
    <w:rsid w:val="00376449"/>
    <w:rsid w:val="003838A9"/>
    <w:rsid w:val="00392D84"/>
    <w:rsid w:val="0039553F"/>
    <w:rsid w:val="003A7850"/>
    <w:rsid w:val="003B0CD4"/>
    <w:rsid w:val="003B5021"/>
    <w:rsid w:val="003B522D"/>
    <w:rsid w:val="003B78B3"/>
    <w:rsid w:val="003C2126"/>
    <w:rsid w:val="003C2A43"/>
    <w:rsid w:val="003D060C"/>
    <w:rsid w:val="003E6D68"/>
    <w:rsid w:val="004003B1"/>
    <w:rsid w:val="00403FF2"/>
    <w:rsid w:val="00406B6E"/>
    <w:rsid w:val="00406F60"/>
    <w:rsid w:val="00410570"/>
    <w:rsid w:val="00413A51"/>
    <w:rsid w:val="00417F2E"/>
    <w:rsid w:val="0042103B"/>
    <w:rsid w:val="00424E11"/>
    <w:rsid w:val="004338FC"/>
    <w:rsid w:val="00451F6F"/>
    <w:rsid w:val="00454793"/>
    <w:rsid w:val="004618C7"/>
    <w:rsid w:val="00462387"/>
    <w:rsid w:val="004734A0"/>
    <w:rsid w:val="004952AA"/>
    <w:rsid w:val="004A0911"/>
    <w:rsid w:val="004A1086"/>
    <w:rsid w:val="004B20D0"/>
    <w:rsid w:val="004D3778"/>
    <w:rsid w:val="004E6F06"/>
    <w:rsid w:val="004F3D8E"/>
    <w:rsid w:val="004F3E35"/>
    <w:rsid w:val="004F3F03"/>
    <w:rsid w:val="004F51E7"/>
    <w:rsid w:val="005005F9"/>
    <w:rsid w:val="005035F0"/>
    <w:rsid w:val="005203BF"/>
    <w:rsid w:val="00530F92"/>
    <w:rsid w:val="00537AEA"/>
    <w:rsid w:val="00542772"/>
    <w:rsid w:val="00545096"/>
    <w:rsid w:val="0055051B"/>
    <w:rsid w:val="00560C84"/>
    <w:rsid w:val="0056661F"/>
    <w:rsid w:val="005730E9"/>
    <w:rsid w:val="0057553C"/>
    <w:rsid w:val="005A4F77"/>
    <w:rsid w:val="005A5AD5"/>
    <w:rsid w:val="005B2987"/>
    <w:rsid w:val="005B4F45"/>
    <w:rsid w:val="005C1286"/>
    <w:rsid w:val="005C342A"/>
    <w:rsid w:val="005C6410"/>
    <w:rsid w:val="005D0B18"/>
    <w:rsid w:val="005D365D"/>
    <w:rsid w:val="005D3DFB"/>
    <w:rsid w:val="005D60CC"/>
    <w:rsid w:val="0060088D"/>
    <w:rsid w:val="006322B2"/>
    <w:rsid w:val="006377CE"/>
    <w:rsid w:val="00645C47"/>
    <w:rsid w:val="00650E25"/>
    <w:rsid w:val="00656BA8"/>
    <w:rsid w:val="006649BD"/>
    <w:rsid w:val="00667082"/>
    <w:rsid w:val="00670D87"/>
    <w:rsid w:val="00675991"/>
    <w:rsid w:val="00681AE3"/>
    <w:rsid w:val="00684ACE"/>
    <w:rsid w:val="00686B34"/>
    <w:rsid w:val="00697936"/>
    <w:rsid w:val="00697DFA"/>
    <w:rsid w:val="006A0052"/>
    <w:rsid w:val="006A4FE6"/>
    <w:rsid w:val="006A5A68"/>
    <w:rsid w:val="006B33D7"/>
    <w:rsid w:val="006B3E2B"/>
    <w:rsid w:val="006D1638"/>
    <w:rsid w:val="006D522C"/>
    <w:rsid w:val="006D579E"/>
    <w:rsid w:val="006D6498"/>
    <w:rsid w:val="006E0277"/>
    <w:rsid w:val="006F2404"/>
    <w:rsid w:val="00700188"/>
    <w:rsid w:val="00702D09"/>
    <w:rsid w:val="00705B2F"/>
    <w:rsid w:val="0071039C"/>
    <w:rsid w:val="00714650"/>
    <w:rsid w:val="007150F4"/>
    <w:rsid w:val="00722FD5"/>
    <w:rsid w:val="00730E1A"/>
    <w:rsid w:val="00733890"/>
    <w:rsid w:val="00734A37"/>
    <w:rsid w:val="00734D37"/>
    <w:rsid w:val="00753AFD"/>
    <w:rsid w:val="007614F1"/>
    <w:rsid w:val="007673B8"/>
    <w:rsid w:val="0077217C"/>
    <w:rsid w:val="0078788C"/>
    <w:rsid w:val="00795375"/>
    <w:rsid w:val="007A0E66"/>
    <w:rsid w:val="007D1E1E"/>
    <w:rsid w:val="007F447E"/>
    <w:rsid w:val="00803D56"/>
    <w:rsid w:val="008051EB"/>
    <w:rsid w:val="00815A26"/>
    <w:rsid w:val="008163CC"/>
    <w:rsid w:val="008211DB"/>
    <w:rsid w:val="00824DDD"/>
    <w:rsid w:val="00826F04"/>
    <w:rsid w:val="00844206"/>
    <w:rsid w:val="00845A73"/>
    <w:rsid w:val="008467C2"/>
    <w:rsid w:val="00854E81"/>
    <w:rsid w:val="008569CD"/>
    <w:rsid w:val="008627B3"/>
    <w:rsid w:val="00862D95"/>
    <w:rsid w:val="00866360"/>
    <w:rsid w:val="008704F6"/>
    <w:rsid w:val="00872EEE"/>
    <w:rsid w:val="008741DB"/>
    <w:rsid w:val="0088599E"/>
    <w:rsid w:val="008A1085"/>
    <w:rsid w:val="008A59DC"/>
    <w:rsid w:val="008B3307"/>
    <w:rsid w:val="008B63E3"/>
    <w:rsid w:val="008C551C"/>
    <w:rsid w:val="008D23D2"/>
    <w:rsid w:val="008E427D"/>
    <w:rsid w:val="008F408E"/>
    <w:rsid w:val="00905E84"/>
    <w:rsid w:val="00933AD2"/>
    <w:rsid w:val="009359B4"/>
    <w:rsid w:val="00945CC4"/>
    <w:rsid w:val="00951D87"/>
    <w:rsid w:val="00951E2D"/>
    <w:rsid w:val="00952ED2"/>
    <w:rsid w:val="00971EA6"/>
    <w:rsid w:val="00973B36"/>
    <w:rsid w:val="00973C73"/>
    <w:rsid w:val="0097500D"/>
    <w:rsid w:val="0098001E"/>
    <w:rsid w:val="00993BF9"/>
    <w:rsid w:val="00997F2A"/>
    <w:rsid w:val="009A1219"/>
    <w:rsid w:val="009A23C1"/>
    <w:rsid w:val="009A3418"/>
    <w:rsid w:val="009C2331"/>
    <w:rsid w:val="009C26A5"/>
    <w:rsid w:val="009C3B88"/>
    <w:rsid w:val="009C7B96"/>
    <w:rsid w:val="009D0C38"/>
    <w:rsid w:val="009D2881"/>
    <w:rsid w:val="009D4EF7"/>
    <w:rsid w:val="009E133D"/>
    <w:rsid w:val="009E4FB1"/>
    <w:rsid w:val="009F426A"/>
    <w:rsid w:val="00A05E79"/>
    <w:rsid w:val="00A10647"/>
    <w:rsid w:val="00A113F2"/>
    <w:rsid w:val="00A1696C"/>
    <w:rsid w:val="00A17065"/>
    <w:rsid w:val="00A2538C"/>
    <w:rsid w:val="00A42DAC"/>
    <w:rsid w:val="00A4514F"/>
    <w:rsid w:val="00A503AA"/>
    <w:rsid w:val="00A52378"/>
    <w:rsid w:val="00A57539"/>
    <w:rsid w:val="00A640A2"/>
    <w:rsid w:val="00A64EBD"/>
    <w:rsid w:val="00A7691F"/>
    <w:rsid w:val="00A77E46"/>
    <w:rsid w:val="00A92385"/>
    <w:rsid w:val="00A94447"/>
    <w:rsid w:val="00AA2FF7"/>
    <w:rsid w:val="00AA7427"/>
    <w:rsid w:val="00AC25C9"/>
    <w:rsid w:val="00AD1A07"/>
    <w:rsid w:val="00AD1CA8"/>
    <w:rsid w:val="00AE006F"/>
    <w:rsid w:val="00AE0592"/>
    <w:rsid w:val="00AE3499"/>
    <w:rsid w:val="00AE3A65"/>
    <w:rsid w:val="00AE66FB"/>
    <w:rsid w:val="00AE7CC3"/>
    <w:rsid w:val="00AF24EF"/>
    <w:rsid w:val="00B04A83"/>
    <w:rsid w:val="00B05A36"/>
    <w:rsid w:val="00B0766D"/>
    <w:rsid w:val="00B1455D"/>
    <w:rsid w:val="00B24794"/>
    <w:rsid w:val="00B36065"/>
    <w:rsid w:val="00B36605"/>
    <w:rsid w:val="00B367A3"/>
    <w:rsid w:val="00B528ED"/>
    <w:rsid w:val="00B529E7"/>
    <w:rsid w:val="00B54D4D"/>
    <w:rsid w:val="00B62331"/>
    <w:rsid w:val="00B6307B"/>
    <w:rsid w:val="00B65212"/>
    <w:rsid w:val="00B75892"/>
    <w:rsid w:val="00B82F2B"/>
    <w:rsid w:val="00B86E39"/>
    <w:rsid w:val="00B96BC5"/>
    <w:rsid w:val="00BA6C69"/>
    <w:rsid w:val="00BB4B9D"/>
    <w:rsid w:val="00BB74FF"/>
    <w:rsid w:val="00BC6115"/>
    <w:rsid w:val="00BC77B0"/>
    <w:rsid w:val="00BD745B"/>
    <w:rsid w:val="00BE2084"/>
    <w:rsid w:val="00C05B84"/>
    <w:rsid w:val="00C07B20"/>
    <w:rsid w:val="00C07B57"/>
    <w:rsid w:val="00C24D8F"/>
    <w:rsid w:val="00C2613E"/>
    <w:rsid w:val="00C30F00"/>
    <w:rsid w:val="00C3114A"/>
    <w:rsid w:val="00C341BE"/>
    <w:rsid w:val="00C460EA"/>
    <w:rsid w:val="00C76E83"/>
    <w:rsid w:val="00C96FC6"/>
    <w:rsid w:val="00CA1500"/>
    <w:rsid w:val="00CA6EDB"/>
    <w:rsid w:val="00CB137C"/>
    <w:rsid w:val="00CB1F64"/>
    <w:rsid w:val="00CB3453"/>
    <w:rsid w:val="00CB5D44"/>
    <w:rsid w:val="00CC25B1"/>
    <w:rsid w:val="00CD441C"/>
    <w:rsid w:val="00CD582A"/>
    <w:rsid w:val="00CE47D3"/>
    <w:rsid w:val="00CE608D"/>
    <w:rsid w:val="00CF559B"/>
    <w:rsid w:val="00D20880"/>
    <w:rsid w:val="00D24E57"/>
    <w:rsid w:val="00D36851"/>
    <w:rsid w:val="00D46E50"/>
    <w:rsid w:val="00D53097"/>
    <w:rsid w:val="00D55578"/>
    <w:rsid w:val="00D5591B"/>
    <w:rsid w:val="00D65F67"/>
    <w:rsid w:val="00D86BA7"/>
    <w:rsid w:val="00D916A5"/>
    <w:rsid w:val="00D9301C"/>
    <w:rsid w:val="00D973DB"/>
    <w:rsid w:val="00DA05EE"/>
    <w:rsid w:val="00DA33A3"/>
    <w:rsid w:val="00DC0A22"/>
    <w:rsid w:val="00DC2F2F"/>
    <w:rsid w:val="00DD37FC"/>
    <w:rsid w:val="00DE4000"/>
    <w:rsid w:val="00DF46E9"/>
    <w:rsid w:val="00E212A3"/>
    <w:rsid w:val="00E219F4"/>
    <w:rsid w:val="00E24738"/>
    <w:rsid w:val="00E374E4"/>
    <w:rsid w:val="00E53462"/>
    <w:rsid w:val="00E62C64"/>
    <w:rsid w:val="00E734C7"/>
    <w:rsid w:val="00E84FDC"/>
    <w:rsid w:val="00EA67D8"/>
    <w:rsid w:val="00EA69F4"/>
    <w:rsid w:val="00EB0A95"/>
    <w:rsid w:val="00EC2C8F"/>
    <w:rsid w:val="00EC4180"/>
    <w:rsid w:val="00ED02EC"/>
    <w:rsid w:val="00ED1374"/>
    <w:rsid w:val="00ED184E"/>
    <w:rsid w:val="00ED19D8"/>
    <w:rsid w:val="00ED1C05"/>
    <w:rsid w:val="00ED4CDF"/>
    <w:rsid w:val="00ED6897"/>
    <w:rsid w:val="00ED69DB"/>
    <w:rsid w:val="00EE23DF"/>
    <w:rsid w:val="00EF1E98"/>
    <w:rsid w:val="00EF69B5"/>
    <w:rsid w:val="00F07112"/>
    <w:rsid w:val="00F11EDE"/>
    <w:rsid w:val="00F20D28"/>
    <w:rsid w:val="00F314A6"/>
    <w:rsid w:val="00F31A84"/>
    <w:rsid w:val="00F31DCB"/>
    <w:rsid w:val="00F57835"/>
    <w:rsid w:val="00F74ABA"/>
    <w:rsid w:val="00F77E1A"/>
    <w:rsid w:val="00F84635"/>
    <w:rsid w:val="00F9179B"/>
    <w:rsid w:val="00FA1360"/>
    <w:rsid w:val="00FA2D46"/>
    <w:rsid w:val="00FA30DC"/>
    <w:rsid w:val="00FA734B"/>
    <w:rsid w:val="00FC6E7A"/>
    <w:rsid w:val="00FD22EE"/>
    <w:rsid w:val="00FE0808"/>
    <w:rsid w:val="00FE2C3C"/>
    <w:rsid w:val="0598C42B"/>
    <w:rsid w:val="0955DEAD"/>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8913119"/>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26"/>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26"/>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26"/>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26"/>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26"/>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26"/>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7D1E1E"/>
    <w:pPr>
      <w:tabs>
        <w:tab w:val="left" w:pos="567"/>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DF46E9"/>
  </w:style>
  <w:style w:type="character" w:customStyle="1" w:styleId="scxw114308624">
    <w:name w:val="scxw114308624"/>
    <w:basedOn w:val="DefaultParagraphFont"/>
    <w:rsid w:val="00DF46E9"/>
  </w:style>
  <w:style w:type="character" w:customStyle="1" w:styleId="eop">
    <w:name w:val="eop"/>
    <w:basedOn w:val="DefaultParagraphFont"/>
    <w:rsid w:val="00DF46E9"/>
  </w:style>
  <w:style w:type="paragraph" w:customStyle="1" w:styleId="Default">
    <w:name w:val="Default"/>
    <w:rsid w:val="00753AFD"/>
    <w:pPr>
      <w:autoSpaceDE w:val="0"/>
      <w:autoSpaceDN w:val="0"/>
      <w:adjustRightInd w:val="0"/>
      <w:spacing w:after="0" w:line="240" w:lineRule="auto"/>
    </w:pPr>
    <w:rPr>
      <w:rFonts w:ascii="Arial" w:eastAsia="Calibri" w:hAnsi="Arial" w:cs="Arial"/>
      <w:color w:val="000000"/>
      <w:sz w:val="24"/>
      <w:szCs w:val="24"/>
      <w:lang w:eastAsia="en-GB"/>
    </w:rPr>
  </w:style>
  <w:style w:type="paragraph" w:styleId="FootnoteText">
    <w:name w:val="footnote text"/>
    <w:basedOn w:val="Normal"/>
    <w:link w:val="FootnoteTextChar"/>
    <w:uiPriority w:val="99"/>
    <w:semiHidden/>
    <w:unhideWhenUsed/>
    <w:rsid w:val="002D5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E57"/>
    <w:rPr>
      <w:rFonts w:ascii="Arial" w:hAnsi="Arial"/>
      <w:color w:val="222A35" w:themeColor="text2" w:themeShade="80"/>
      <w:sz w:val="20"/>
      <w:szCs w:val="20"/>
    </w:rPr>
  </w:style>
  <w:style w:type="character" w:styleId="FootnoteReference">
    <w:name w:val="footnote reference"/>
    <w:basedOn w:val="DefaultParagraphFont"/>
    <w:uiPriority w:val="99"/>
    <w:semiHidden/>
    <w:unhideWhenUsed/>
    <w:rsid w:val="002D5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hyperlink" Target="mailto:safeguard@cardifmet.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diffmet.ac.uk/about/policyhub/Pages/default.aspx"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outlookuwicac.sharepoint.com/sites/Secretariat/SitePages/Compliance/Prevent/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feguard@cardiffmet.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event-duty-guidance/prevent-duty-guidance-for-higher-education-institutions-in-england-and-wales" TargetMode="External"/><Relationship Id="rId2" Type="http://schemas.openxmlformats.org/officeDocument/2006/relationships/hyperlink" Target="https://eur01.safelinks.protection.outlook.com/?url=https%3A%2F%2Fwww.gov.uk%2Fgovernment%2Fpublications%2Fprevent-duty-guidance%2Fprevent-duty-guidance-for-higher-education-institutions-in-england-and-wales&amp;data=02%7C01%7CERSteele%40cardiffmet.ac.uk%7C592d993169e04affd43d08d79371d32e%7C189dc61c769b40488b0f6de074bba26c%7C0%7C0%7C637139989392592407&amp;sdata=ZPNH4xyCwgcxMeDtPLGIVmi1iWjLi2sX6HrxHLgePLg%3D&amp;reserved=0" TargetMode="External"/><Relationship Id="rId1" Type="http://schemas.openxmlformats.org/officeDocument/2006/relationships/hyperlink" Target="https://www.gov.uk/government/collections/counter-terrorism-and-security-bill" TargetMode="External"/><Relationship Id="rId4" Type="http://schemas.openxmlformats.org/officeDocument/2006/relationships/hyperlink" Target="https://www.gov.uk/government/publications/channel-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EF6B86-D290-4399-AB8F-5BA9A806EC07}"/>
</file>

<file path=customXml/itemProps4.xml><?xml version="1.0" encoding="utf-8"?>
<ds:datastoreItem xmlns:ds="http://schemas.openxmlformats.org/officeDocument/2006/customXml" ds:itemID="{9FFA4D0B-6508-4AAE-8D5A-321550A9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2864</Words>
  <Characters>16326</Characters>
  <Application>Microsoft Office Word</Application>
  <DocSecurity>8</DocSecurity>
  <Lines>136</Lines>
  <Paragraphs>38</Paragraphs>
  <ScaleCrop>false</ScaleCrop>
  <Company>Cardiff Metropolitan University</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7</cp:revision>
  <dcterms:created xsi:type="dcterms:W3CDTF">2021-11-25T12:04:00Z</dcterms:created>
  <dcterms:modified xsi:type="dcterms:W3CDTF">2022-06-17T09:09:00Z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