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678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hAnsi="Arial-BoldMT" w:cs="Arial-BoldMT"/>
          <w:b/>
          <w:bCs/>
          <w:sz w:val="24"/>
          <w:szCs w:val="24"/>
        </w:rPr>
        <w:t>Cardiff Metropolitan University</w:t>
      </w:r>
    </w:p>
    <w:p w14:paraId="22118D39" w14:textId="633D917A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hAnsi="Arial-BoldMT" w:cs="Arial-BoldMT"/>
          <w:b/>
          <w:bCs/>
          <w:sz w:val="24"/>
          <w:szCs w:val="24"/>
        </w:rPr>
        <w:t>Annual Pay Policy Statement 202</w:t>
      </w:r>
      <w:r w:rsidR="04B60FF4" w:rsidRPr="1B08E68D">
        <w:rPr>
          <w:rFonts w:ascii="Arial-BoldMT" w:hAnsi="Arial-BoldMT" w:cs="Arial-BoldMT"/>
          <w:b/>
          <w:bCs/>
          <w:sz w:val="24"/>
          <w:szCs w:val="24"/>
        </w:rPr>
        <w:t>3</w:t>
      </w:r>
      <w:r w:rsidR="002D4C32" w:rsidRPr="1B08E68D">
        <w:rPr>
          <w:rFonts w:ascii="Arial-BoldMT" w:hAnsi="Arial-BoldMT" w:cs="Arial-BoldMT"/>
          <w:b/>
          <w:bCs/>
          <w:sz w:val="24"/>
          <w:szCs w:val="24"/>
        </w:rPr>
        <w:t>-2</w:t>
      </w:r>
      <w:r w:rsidR="5AB6FDA8" w:rsidRPr="1B08E68D">
        <w:rPr>
          <w:rFonts w:ascii="Arial-BoldMT" w:hAnsi="Arial-BoldMT" w:cs="Arial-BoldMT"/>
          <w:b/>
          <w:bCs/>
          <w:sz w:val="24"/>
          <w:szCs w:val="24"/>
        </w:rPr>
        <w:t>4</w:t>
      </w:r>
    </w:p>
    <w:p w14:paraId="16637BC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18F6FD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 Introduction</w:t>
      </w:r>
    </w:p>
    <w:p w14:paraId="76C30F1B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42763E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Annual Pay Policy Statement for Cardiff Metropolitan University for the financial</w:t>
      </w:r>
    </w:p>
    <w:p w14:paraId="625138FF" w14:textId="039D12B0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year 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202</w:t>
      </w:r>
      <w:r w:rsidR="1E35B25C" w:rsidRPr="1B08E68D">
        <w:rPr>
          <w:rFonts w:ascii="ArialMT" w:hAnsi="ArialMT" w:cs="ArialMT"/>
          <w:color w:val="000000" w:themeColor="text1"/>
          <w:sz w:val="24"/>
          <w:szCs w:val="24"/>
        </w:rPr>
        <w:t>3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-2</w:t>
      </w:r>
      <w:r w:rsidR="42F91919" w:rsidRPr="1B08E68D">
        <w:rPr>
          <w:rFonts w:ascii="ArialMT" w:hAnsi="ArialMT" w:cs="ArialMT"/>
          <w:color w:val="000000" w:themeColor="text1"/>
          <w:sz w:val="24"/>
          <w:szCs w:val="24"/>
        </w:rPr>
        <w:t>4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 xml:space="preserve">describes the University’s policy and process for determining pay for all staff with a focus on the remuneration of senior post-holders. </w:t>
      </w:r>
      <w:r w:rsidR="00584A70" w:rsidRPr="1B08E68D">
        <w:rPr>
          <w:rFonts w:ascii="ArialMT" w:hAnsi="ArialMT" w:cs="ArialMT"/>
          <w:sz w:val="24"/>
          <w:szCs w:val="24"/>
        </w:rPr>
        <w:t>The University has a</w:t>
      </w:r>
      <w:r w:rsidRPr="1B08E68D">
        <w:rPr>
          <w:rFonts w:ascii="ArialMT" w:hAnsi="ArialMT" w:cs="ArialMT"/>
          <w:sz w:val="24"/>
          <w:szCs w:val="24"/>
        </w:rPr>
        <w:t xml:space="preserve"> Sen</w:t>
      </w:r>
      <w:r w:rsidR="007C2030" w:rsidRPr="1B08E68D">
        <w:rPr>
          <w:rFonts w:ascii="ArialMT" w:hAnsi="ArialMT" w:cs="ArialMT"/>
          <w:sz w:val="24"/>
          <w:szCs w:val="24"/>
        </w:rPr>
        <w:t xml:space="preserve">ior Staff Remuneration Policy </w:t>
      </w:r>
      <w:r w:rsidR="00584A70" w:rsidRPr="1B08E68D">
        <w:rPr>
          <w:rFonts w:ascii="ArialMT" w:hAnsi="ArialMT" w:cs="ArialMT"/>
          <w:sz w:val="24"/>
          <w:szCs w:val="24"/>
        </w:rPr>
        <w:t xml:space="preserve">Framework which has been </w:t>
      </w:r>
      <w:r w:rsidRPr="1B08E68D">
        <w:rPr>
          <w:rFonts w:ascii="ArialMT" w:hAnsi="ArialMT" w:cs="ArialMT"/>
          <w:sz w:val="24"/>
          <w:szCs w:val="24"/>
        </w:rPr>
        <w:t>approv</w:t>
      </w:r>
      <w:r w:rsidR="00584A70" w:rsidRPr="1B08E68D">
        <w:rPr>
          <w:rFonts w:ascii="ArialMT" w:hAnsi="ArialMT" w:cs="ArialMT"/>
          <w:sz w:val="24"/>
          <w:szCs w:val="24"/>
        </w:rPr>
        <w:t xml:space="preserve">ed </w:t>
      </w:r>
      <w:r w:rsidRPr="1B08E68D">
        <w:rPr>
          <w:rFonts w:ascii="ArialMT" w:hAnsi="ArialMT" w:cs="ArialMT"/>
          <w:sz w:val="24"/>
          <w:szCs w:val="24"/>
        </w:rPr>
        <w:t>by the Remuneration Committee of the Board of Governors. The University’s Annual Report and Finan</w:t>
      </w:r>
      <w:r w:rsidR="008975EA" w:rsidRPr="1B08E68D">
        <w:rPr>
          <w:rFonts w:ascii="ArialMT" w:hAnsi="ArialMT" w:cs="ArialMT"/>
          <w:sz w:val="24"/>
          <w:szCs w:val="24"/>
        </w:rPr>
        <w:t xml:space="preserve">cial Statements </w:t>
      </w:r>
      <w:r w:rsidR="007C2030" w:rsidRPr="1B08E68D">
        <w:rPr>
          <w:rFonts w:ascii="ArialMT" w:hAnsi="ArialMT" w:cs="ArialMT"/>
          <w:sz w:val="24"/>
          <w:szCs w:val="24"/>
        </w:rPr>
        <w:t xml:space="preserve">will be published </w:t>
      </w:r>
      <w:r w:rsidR="03BD87E0" w:rsidRPr="1B08E68D">
        <w:rPr>
          <w:rFonts w:ascii="ArialMT" w:hAnsi="ArialMT" w:cs="ArialMT"/>
          <w:sz w:val="24"/>
          <w:szCs w:val="24"/>
        </w:rPr>
        <w:t xml:space="preserve">at the latest by end of </w:t>
      </w:r>
      <w:r w:rsidR="003F4C08" w:rsidRPr="1B08E68D">
        <w:rPr>
          <w:rFonts w:ascii="ArialMT" w:hAnsi="ArialMT" w:cs="ArialMT"/>
          <w:color w:val="000000" w:themeColor="text1"/>
          <w:sz w:val="24"/>
          <w:szCs w:val="24"/>
        </w:rPr>
        <w:t>January 202</w:t>
      </w:r>
      <w:r w:rsidR="56D38403" w:rsidRPr="1B08E68D">
        <w:rPr>
          <w:rFonts w:ascii="ArialMT" w:hAnsi="ArialMT" w:cs="ArialMT"/>
          <w:color w:val="000000" w:themeColor="text1"/>
          <w:sz w:val="24"/>
          <w:szCs w:val="24"/>
        </w:rPr>
        <w:t>5</w:t>
      </w:r>
      <w:r w:rsidR="00C803C4" w:rsidRPr="1B08E68D">
        <w:rPr>
          <w:rFonts w:ascii="ArialMT" w:hAnsi="ArialMT" w:cs="ArialMT"/>
          <w:color w:val="000000" w:themeColor="text1"/>
          <w:sz w:val="24"/>
          <w:szCs w:val="24"/>
        </w:rPr>
        <w:t>.</w:t>
      </w:r>
    </w:p>
    <w:p w14:paraId="723463B1" w14:textId="5EE17C3A" w:rsidR="00584A70" w:rsidRDefault="00584A7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</w:p>
    <w:p w14:paraId="6E74FF25" w14:textId="77777777" w:rsidR="00584A70" w:rsidRDefault="00584A70" w:rsidP="00584A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purpose of the Annual Pay Policy Statement is to set out the University’s policies towards a range of issues concerning the pay and remuneration of its workforce.</w:t>
      </w:r>
    </w:p>
    <w:p w14:paraId="610488D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602AA2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Annual Pay Policy Statement is an expectation derived from the Welsh</w:t>
      </w:r>
    </w:p>
    <w:p w14:paraId="2F45576E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Government’s ‘Transparency of Senior Remuneration in the Devolved Welsh Public</w:t>
      </w:r>
    </w:p>
    <w:p w14:paraId="1237ED95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Sector’ document published in 2015. The Welsh Government aims to increase</w:t>
      </w:r>
    </w:p>
    <w:p w14:paraId="06A21FB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accountability, especially in relation to payments made to senior post-holders, by</w:t>
      </w:r>
    </w:p>
    <w:p w14:paraId="14A72D89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making this information publicly available alongside the Annual Financial Statements.</w:t>
      </w:r>
    </w:p>
    <w:p w14:paraId="6C8A9EE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F4D5A0" w14:textId="29721283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The University also follows the principles of the </w:t>
      </w:r>
      <w:r w:rsidR="00584A70" w:rsidRPr="1B08E68D">
        <w:rPr>
          <w:rFonts w:ascii="ArialMT" w:hAnsi="ArialMT" w:cs="ArialMT"/>
          <w:sz w:val="24"/>
          <w:szCs w:val="24"/>
        </w:rPr>
        <w:t xml:space="preserve">Committee of University Chairs (CUC) </w:t>
      </w:r>
      <w:r w:rsidRPr="1B08E68D">
        <w:rPr>
          <w:rFonts w:ascii="ArialMT" w:hAnsi="ArialMT" w:cs="ArialMT"/>
          <w:sz w:val="24"/>
          <w:szCs w:val="24"/>
        </w:rPr>
        <w:t>Higher Education Senior Staff</w:t>
      </w:r>
      <w:r w:rsidR="00584A70"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>Remuneration</w:t>
      </w:r>
      <w:r w:rsidR="00584A70" w:rsidRPr="1B08E68D">
        <w:rPr>
          <w:rFonts w:ascii="ArialMT" w:hAnsi="ArialMT" w:cs="ArialMT"/>
          <w:sz w:val="24"/>
          <w:szCs w:val="24"/>
        </w:rPr>
        <w:t xml:space="preserve"> Code, November 2021, and the Remuneration Committee </w:t>
      </w:r>
      <w:r w:rsidRPr="1B08E68D">
        <w:rPr>
          <w:rFonts w:ascii="ArialMT" w:hAnsi="ArialMT" w:cs="ArialMT"/>
          <w:sz w:val="24"/>
          <w:szCs w:val="24"/>
        </w:rPr>
        <w:t>p</w:t>
      </w:r>
      <w:r w:rsidR="00584A70" w:rsidRPr="1B08E68D">
        <w:rPr>
          <w:rFonts w:ascii="ArialMT" w:hAnsi="ArialMT" w:cs="ArialMT"/>
          <w:sz w:val="24"/>
          <w:szCs w:val="24"/>
        </w:rPr>
        <w:t xml:space="preserve">resents </w:t>
      </w:r>
      <w:r w:rsidRPr="1B08E68D">
        <w:rPr>
          <w:rFonts w:ascii="ArialMT" w:hAnsi="ArialMT" w:cs="ArialMT"/>
          <w:sz w:val="24"/>
          <w:szCs w:val="24"/>
        </w:rPr>
        <w:t>a</w:t>
      </w:r>
      <w:r w:rsidR="00584A70" w:rsidRPr="1B08E68D">
        <w:rPr>
          <w:rFonts w:ascii="ArialMT" w:hAnsi="ArialMT" w:cs="ArialMT"/>
          <w:sz w:val="24"/>
          <w:szCs w:val="24"/>
        </w:rPr>
        <w:t xml:space="preserve">n annual </w:t>
      </w:r>
      <w:r w:rsidRPr="1B08E68D">
        <w:rPr>
          <w:rFonts w:ascii="ArialMT" w:hAnsi="ArialMT" w:cs="ArialMT"/>
          <w:sz w:val="24"/>
          <w:szCs w:val="24"/>
        </w:rPr>
        <w:t xml:space="preserve">Senior Staff Remuneration </w:t>
      </w:r>
      <w:r w:rsidR="00584A70" w:rsidRPr="1B08E68D">
        <w:rPr>
          <w:rFonts w:ascii="ArialMT" w:hAnsi="ArialMT" w:cs="ArialMT"/>
          <w:sz w:val="24"/>
          <w:szCs w:val="24"/>
        </w:rPr>
        <w:t>report to the Board of Governors</w:t>
      </w:r>
      <w:r w:rsidRPr="1B08E68D">
        <w:rPr>
          <w:rFonts w:ascii="ArialMT" w:hAnsi="ArialMT" w:cs="ArialMT"/>
          <w:sz w:val="24"/>
          <w:szCs w:val="24"/>
        </w:rPr>
        <w:t>.</w:t>
      </w:r>
    </w:p>
    <w:p w14:paraId="4CB59F5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AE8AF1" w14:textId="0D4656E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</w:t>
      </w:r>
      <w:r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Senior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Post-holders</w:t>
      </w:r>
      <w:proofErr w:type="gramEnd"/>
    </w:p>
    <w:p w14:paraId="5E817BCA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F317148" w14:textId="21D2FA7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University’s Articles of Government define the h</w:t>
      </w:r>
      <w:r w:rsidR="008975EA" w:rsidRPr="1B08E68D">
        <w:rPr>
          <w:rFonts w:ascii="ArialMT" w:hAnsi="ArialMT" w:cs="ArialMT"/>
          <w:sz w:val="24"/>
          <w:szCs w:val="24"/>
        </w:rPr>
        <w:t xml:space="preserve">olders of senior posts as those </w:t>
      </w:r>
      <w:r w:rsidRPr="1B08E68D">
        <w:rPr>
          <w:rFonts w:ascii="ArialMT" w:hAnsi="ArialMT" w:cs="ArialMT"/>
          <w:sz w:val="24"/>
          <w:szCs w:val="24"/>
        </w:rPr>
        <w:t>appointed by th</w:t>
      </w:r>
      <w:r w:rsidR="008975EA" w:rsidRPr="1B08E68D">
        <w:rPr>
          <w:rFonts w:ascii="ArialMT" w:hAnsi="ArialMT" w:cs="ArialMT"/>
          <w:sz w:val="24"/>
          <w:szCs w:val="24"/>
        </w:rPr>
        <w:t>e Board of Governors. In 202</w:t>
      </w:r>
      <w:r w:rsidR="000538CC" w:rsidRPr="1B08E68D">
        <w:rPr>
          <w:rFonts w:ascii="ArialMT" w:hAnsi="ArialMT" w:cs="ArialMT"/>
          <w:sz w:val="24"/>
          <w:szCs w:val="24"/>
        </w:rPr>
        <w:t>3</w:t>
      </w:r>
      <w:r w:rsidR="004162C2" w:rsidRPr="1B08E68D">
        <w:rPr>
          <w:rFonts w:ascii="ArialMT" w:hAnsi="ArialMT" w:cs="ArialMT"/>
          <w:sz w:val="24"/>
          <w:szCs w:val="24"/>
        </w:rPr>
        <w:t>-</w:t>
      </w:r>
      <w:r w:rsidR="008975EA" w:rsidRPr="1B08E68D">
        <w:rPr>
          <w:rFonts w:ascii="ArialMT" w:hAnsi="ArialMT" w:cs="ArialMT"/>
          <w:sz w:val="24"/>
          <w:szCs w:val="24"/>
        </w:rPr>
        <w:t>2</w:t>
      </w:r>
      <w:r w:rsidR="000538CC" w:rsidRPr="1B08E68D">
        <w:rPr>
          <w:rFonts w:ascii="ArialMT" w:hAnsi="ArialMT" w:cs="ArialMT"/>
          <w:sz w:val="24"/>
          <w:szCs w:val="24"/>
        </w:rPr>
        <w:t>4</w:t>
      </w:r>
      <w:r w:rsidRPr="1B08E68D">
        <w:rPr>
          <w:rFonts w:ascii="ArialMT" w:hAnsi="ArialMT" w:cs="ArialMT"/>
          <w:sz w:val="24"/>
          <w:szCs w:val="24"/>
        </w:rPr>
        <w:t xml:space="preserve"> these comprised the President and</w:t>
      </w:r>
      <w:r w:rsidR="00A15537"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>Vice-Chancellor</w:t>
      </w:r>
      <w:r w:rsidR="00BE0870">
        <w:rPr>
          <w:rFonts w:ascii="ArialMT" w:hAnsi="ArialMT" w:cs="ArialMT"/>
          <w:sz w:val="24"/>
          <w:szCs w:val="24"/>
        </w:rPr>
        <w:t xml:space="preserve"> and the University Secretary.</w:t>
      </w:r>
      <w:r w:rsidR="00C626A3">
        <w:rPr>
          <w:rFonts w:ascii="ArialMT" w:hAnsi="ArialMT" w:cs="ArialMT"/>
          <w:sz w:val="24"/>
          <w:szCs w:val="24"/>
        </w:rPr>
        <w:t xml:space="preserve">There is also provision </w:t>
      </w:r>
      <w:r w:rsidR="005232E1">
        <w:rPr>
          <w:rFonts w:ascii="ArialMT" w:hAnsi="ArialMT" w:cs="ArialMT"/>
          <w:sz w:val="24"/>
          <w:szCs w:val="24"/>
        </w:rPr>
        <w:t xml:space="preserve">within the Articles of Government </w:t>
      </w:r>
      <w:r w:rsidR="00C626A3">
        <w:rPr>
          <w:rFonts w:ascii="ArialMT" w:hAnsi="ArialMT" w:cs="ArialMT"/>
          <w:sz w:val="24"/>
          <w:szCs w:val="24"/>
        </w:rPr>
        <w:t>for the Board of Governors to</w:t>
      </w:r>
      <w:r w:rsidR="005232E1">
        <w:rPr>
          <w:rFonts w:ascii="ArialMT" w:hAnsi="ArialMT" w:cs="ArialMT"/>
          <w:sz w:val="24"/>
          <w:szCs w:val="24"/>
        </w:rPr>
        <w:t xml:space="preserve"> determine what </w:t>
      </w:r>
      <w:r w:rsidR="00606450">
        <w:rPr>
          <w:rFonts w:ascii="ArialMT" w:hAnsi="ArialMT" w:cs="ArialMT"/>
          <w:sz w:val="24"/>
          <w:szCs w:val="24"/>
        </w:rPr>
        <w:t xml:space="preserve">other </w:t>
      </w:r>
      <w:r w:rsidR="001074D0">
        <w:rPr>
          <w:rFonts w:ascii="ArialMT" w:hAnsi="ArialMT" w:cs="ArialMT"/>
          <w:sz w:val="24"/>
          <w:szCs w:val="24"/>
        </w:rPr>
        <w:t>post</w:t>
      </w:r>
      <w:r w:rsidR="005820AA">
        <w:rPr>
          <w:rFonts w:ascii="ArialMT" w:hAnsi="ArialMT" w:cs="ArialMT"/>
          <w:sz w:val="24"/>
          <w:szCs w:val="24"/>
        </w:rPr>
        <w:t xml:space="preserve"> holder</w:t>
      </w:r>
      <w:r w:rsidR="005A24AD">
        <w:rPr>
          <w:rFonts w:ascii="ArialMT" w:hAnsi="ArialMT" w:cs="ArialMT"/>
          <w:sz w:val="24"/>
          <w:szCs w:val="24"/>
        </w:rPr>
        <w:t>s</w:t>
      </w:r>
      <w:r w:rsidR="00700756">
        <w:rPr>
          <w:rFonts w:ascii="ArialMT" w:hAnsi="ArialMT" w:cs="ArialMT"/>
          <w:sz w:val="24"/>
          <w:szCs w:val="24"/>
        </w:rPr>
        <w:t xml:space="preserve"> should be de</w:t>
      </w:r>
      <w:r w:rsidR="001074D0">
        <w:rPr>
          <w:rFonts w:ascii="ArialMT" w:hAnsi="ArialMT" w:cs="ArialMT"/>
          <w:sz w:val="24"/>
          <w:szCs w:val="24"/>
        </w:rPr>
        <w:t>signated</w:t>
      </w:r>
      <w:r w:rsidR="00700756">
        <w:rPr>
          <w:rFonts w:ascii="ArialMT" w:hAnsi="ArialMT" w:cs="ArialMT"/>
          <w:sz w:val="24"/>
          <w:szCs w:val="24"/>
        </w:rPr>
        <w:t xml:space="preserve"> as </w:t>
      </w:r>
      <w:r w:rsidR="008D2FDE">
        <w:rPr>
          <w:rFonts w:ascii="ArialMT" w:hAnsi="ArialMT" w:cs="ArialMT"/>
          <w:sz w:val="24"/>
          <w:szCs w:val="24"/>
        </w:rPr>
        <w:t xml:space="preserve">holders of </w:t>
      </w:r>
      <w:r w:rsidR="00700756">
        <w:rPr>
          <w:rFonts w:ascii="ArialMT" w:hAnsi="ArialMT" w:cs="ArialMT"/>
          <w:sz w:val="24"/>
          <w:szCs w:val="24"/>
        </w:rPr>
        <w:t>senior posts. The Board of Governors has determined that t</w:t>
      </w:r>
      <w:r w:rsidR="00584A70" w:rsidRPr="1B08E68D">
        <w:rPr>
          <w:rFonts w:ascii="ArialMT" w:hAnsi="ArialMT" w:cs="ArialMT"/>
          <w:sz w:val="24"/>
          <w:szCs w:val="24"/>
        </w:rPr>
        <w:t>he Deputy Vice-Chancellor</w:t>
      </w:r>
      <w:r w:rsidR="001074D0">
        <w:rPr>
          <w:rFonts w:ascii="ArialMT" w:hAnsi="ArialMT" w:cs="ArialMT"/>
          <w:sz w:val="24"/>
          <w:szCs w:val="24"/>
        </w:rPr>
        <w:t xml:space="preserve"> </w:t>
      </w:r>
      <w:r w:rsidR="00581E77">
        <w:rPr>
          <w:rFonts w:ascii="ArialMT" w:hAnsi="ArialMT" w:cs="ArialMT"/>
          <w:sz w:val="24"/>
          <w:szCs w:val="24"/>
        </w:rPr>
        <w:t xml:space="preserve">post </w:t>
      </w:r>
      <w:r w:rsidR="00A7101E">
        <w:rPr>
          <w:rFonts w:ascii="ArialMT" w:hAnsi="ArialMT" w:cs="ArialMT"/>
          <w:sz w:val="24"/>
          <w:szCs w:val="24"/>
        </w:rPr>
        <w:t xml:space="preserve">holder </w:t>
      </w:r>
      <w:r w:rsidR="001074D0">
        <w:rPr>
          <w:rFonts w:ascii="ArialMT" w:hAnsi="ArialMT" w:cs="ArialMT"/>
          <w:sz w:val="24"/>
          <w:szCs w:val="24"/>
        </w:rPr>
        <w:t>should be designated as a</w:t>
      </w:r>
      <w:r w:rsidR="00A7101E">
        <w:rPr>
          <w:rFonts w:ascii="ArialMT" w:hAnsi="ArialMT" w:cs="ArialMT"/>
          <w:sz w:val="24"/>
          <w:szCs w:val="24"/>
        </w:rPr>
        <w:t xml:space="preserve"> holder of a senior post.</w:t>
      </w:r>
      <w:r w:rsidR="00581E77">
        <w:rPr>
          <w:rFonts w:ascii="ArialMT" w:hAnsi="ArialMT" w:cs="ArialMT"/>
          <w:sz w:val="24"/>
          <w:szCs w:val="24"/>
        </w:rPr>
        <w:t xml:space="preserve"> </w:t>
      </w:r>
      <w:r w:rsidR="001074D0">
        <w:rPr>
          <w:rFonts w:ascii="ArialMT" w:hAnsi="ArialMT" w:cs="ArialMT"/>
          <w:sz w:val="24"/>
          <w:szCs w:val="24"/>
        </w:rPr>
        <w:t xml:space="preserve"> </w:t>
      </w:r>
    </w:p>
    <w:p w14:paraId="66D3B96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67EFFB" w14:textId="7C8C1994" w:rsidR="00C803C4" w:rsidRPr="009C429F" w:rsidRDefault="002D4C32" w:rsidP="1B08E6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The remuneration, benefits and terms </w:t>
      </w:r>
      <w:r w:rsidR="00C803C4" w:rsidRPr="1B08E68D">
        <w:rPr>
          <w:rFonts w:ascii="ArialMT" w:hAnsi="ArialMT" w:cs="ArialMT"/>
          <w:color w:val="000000" w:themeColor="text1"/>
          <w:sz w:val="24"/>
          <w:szCs w:val="24"/>
        </w:rPr>
        <w:t>and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 conditions o</w:t>
      </w:r>
      <w:r w:rsidR="008975EA"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f these senior post-holders are 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determined by the Remuneration Committee on behalf of the Board of Governors</w:t>
      </w:r>
      <w:r w:rsidR="008975EA"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generally at its meeting in the autumn term</w:t>
      </w:r>
      <w:r w:rsidRPr="1B08E68D">
        <w:rPr>
          <w:rFonts w:ascii="ArialMT" w:hAnsi="ArialMT" w:cs="ArialMT"/>
          <w:sz w:val="24"/>
          <w:szCs w:val="24"/>
        </w:rPr>
        <w:t>.</w:t>
      </w:r>
      <w:r w:rsidR="00A558AF" w:rsidRPr="1B08E68D">
        <w:rPr>
          <w:rFonts w:ascii="ArialMT" w:hAnsi="ArialMT" w:cs="ArialMT"/>
          <w:sz w:val="24"/>
          <w:szCs w:val="24"/>
        </w:rPr>
        <w:t xml:space="preserve"> </w:t>
      </w:r>
      <w:r w:rsidR="00871800">
        <w:rPr>
          <w:rFonts w:ascii="ArialMT" w:hAnsi="ArialMT" w:cs="ArialMT"/>
          <w:sz w:val="24"/>
          <w:szCs w:val="24"/>
        </w:rPr>
        <w:t>The remuneration</w:t>
      </w:r>
      <w:r w:rsidR="00A06011">
        <w:rPr>
          <w:rFonts w:ascii="ArialMT" w:hAnsi="ArialMT" w:cs="ArialMT"/>
          <w:sz w:val="24"/>
          <w:szCs w:val="24"/>
        </w:rPr>
        <w:t>, be</w:t>
      </w:r>
      <w:r w:rsidR="00490E66">
        <w:rPr>
          <w:rFonts w:ascii="ArialMT" w:hAnsi="ArialMT" w:cs="ArialMT"/>
          <w:sz w:val="24"/>
          <w:szCs w:val="24"/>
        </w:rPr>
        <w:t>nefits and terms of conditions</w:t>
      </w:r>
      <w:r w:rsidR="00871800">
        <w:rPr>
          <w:rFonts w:ascii="ArialMT" w:hAnsi="ArialMT" w:cs="ArialMT"/>
          <w:sz w:val="24"/>
          <w:szCs w:val="24"/>
        </w:rPr>
        <w:t xml:space="preserve"> of other senior staff at Level 2 </w:t>
      </w:r>
      <w:r w:rsidR="001D35DB">
        <w:rPr>
          <w:rFonts w:ascii="ArialMT" w:hAnsi="ArialMT" w:cs="ArialMT"/>
          <w:sz w:val="24"/>
          <w:szCs w:val="24"/>
        </w:rPr>
        <w:t xml:space="preserve">is also determined by </w:t>
      </w:r>
      <w:r w:rsidR="005F530B">
        <w:rPr>
          <w:rFonts w:ascii="ArialMT" w:hAnsi="ArialMT" w:cs="ArialMT"/>
          <w:sz w:val="24"/>
          <w:szCs w:val="24"/>
        </w:rPr>
        <w:t xml:space="preserve">the </w:t>
      </w:r>
      <w:r w:rsidR="001D35DB">
        <w:rPr>
          <w:rFonts w:ascii="ArialMT" w:hAnsi="ArialMT" w:cs="ArialMT"/>
          <w:sz w:val="24"/>
          <w:szCs w:val="24"/>
        </w:rPr>
        <w:t>Remuneration Committee</w:t>
      </w:r>
      <w:r w:rsidR="00A06011">
        <w:rPr>
          <w:rFonts w:ascii="ArialMT" w:hAnsi="ArialMT" w:cs="ArialMT"/>
          <w:sz w:val="24"/>
          <w:szCs w:val="24"/>
        </w:rPr>
        <w:t xml:space="preserve"> i.e. Pro Vice-Chancellors and the Chief Officer (Resources).</w:t>
      </w:r>
    </w:p>
    <w:p w14:paraId="2D1CA13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615A9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hAnsi="Arial-BoldMT" w:cs="Arial-BoldMT"/>
          <w:b/>
          <w:bCs/>
          <w:sz w:val="24"/>
          <w:szCs w:val="24"/>
        </w:rPr>
        <w:t>3. Other Senior Staff</w:t>
      </w:r>
    </w:p>
    <w:p w14:paraId="37DDA97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6063504" w14:textId="7D60A4B8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Changes to salaries of senior staff at Level 3 </w:t>
      </w:r>
      <w:r w:rsidR="00DF0E52" w:rsidRPr="1B08E68D">
        <w:rPr>
          <w:rFonts w:ascii="ArialMT" w:hAnsi="ArialMT" w:cs="ArialMT"/>
          <w:sz w:val="24"/>
          <w:szCs w:val="24"/>
        </w:rPr>
        <w:t xml:space="preserve">and Professors </w:t>
      </w:r>
      <w:r w:rsidRPr="1B08E68D">
        <w:rPr>
          <w:rFonts w:ascii="ArialMT" w:hAnsi="ArialMT" w:cs="ArialMT"/>
          <w:sz w:val="24"/>
          <w:szCs w:val="24"/>
        </w:rPr>
        <w:t>are determined annually by the Vice</w:t>
      </w:r>
      <w:r w:rsidR="00584A70" w:rsidRPr="1B08E68D">
        <w:rPr>
          <w:rFonts w:ascii="ArialMT" w:hAnsi="ArialMT" w:cs="ArialMT"/>
          <w:sz w:val="24"/>
          <w:szCs w:val="24"/>
        </w:rPr>
        <w:t>-</w:t>
      </w:r>
      <w:r w:rsidR="004C577F" w:rsidRPr="1B08E68D">
        <w:rPr>
          <w:rFonts w:ascii="ArialMT" w:hAnsi="ArialMT" w:cs="ArialMT"/>
          <w:sz w:val="24"/>
          <w:szCs w:val="24"/>
        </w:rPr>
        <w:t xml:space="preserve">Chancellor and </w:t>
      </w:r>
      <w:r w:rsidR="00584A70" w:rsidRPr="1B08E68D">
        <w:rPr>
          <w:rFonts w:ascii="ArialMT" w:hAnsi="ArialMT" w:cs="ArialMT"/>
          <w:sz w:val="24"/>
          <w:szCs w:val="24"/>
        </w:rPr>
        <w:t xml:space="preserve">reported to </w:t>
      </w:r>
      <w:r w:rsidR="004C577F" w:rsidRPr="1B08E68D">
        <w:rPr>
          <w:rFonts w:ascii="ArialMT" w:hAnsi="ArialMT" w:cs="ArialMT"/>
          <w:sz w:val="24"/>
          <w:szCs w:val="24"/>
        </w:rPr>
        <w:t>the Remuneration Committee.</w:t>
      </w:r>
    </w:p>
    <w:p w14:paraId="653CE832" w14:textId="77777777" w:rsidR="00865805" w:rsidRDefault="00865805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E9D7B89" w14:textId="77777777" w:rsidR="00490E66" w:rsidRDefault="00490E6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672CC6DF" w14:textId="25BE3FA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MT" w:hAnsi="ArialMT" w:cs="ArialMT"/>
          <w:b/>
          <w:bCs/>
          <w:sz w:val="24"/>
          <w:szCs w:val="24"/>
        </w:rPr>
        <w:lastRenderedPageBreak/>
        <w:t>4.</w:t>
      </w:r>
      <w:r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-BoldMT" w:hAnsi="Arial-BoldMT" w:cs="Arial-BoldMT"/>
          <w:b/>
          <w:bCs/>
          <w:sz w:val="24"/>
          <w:szCs w:val="24"/>
        </w:rPr>
        <w:t>Guidelines for Senior Staff Pay</w:t>
      </w:r>
    </w:p>
    <w:p w14:paraId="2CBA4F9C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BD652E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following elements are considered when determining</w:t>
      </w:r>
      <w:r w:rsidR="00604517" w:rsidRPr="1B08E68D">
        <w:rPr>
          <w:rFonts w:ascii="ArialMT" w:hAnsi="ArialMT" w:cs="ArialMT"/>
          <w:sz w:val="24"/>
          <w:szCs w:val="24"/>
        </w:rPr>
        <w:t xml:space="preserve"> the level of pay for the above </w:t>
      </w:r>
      <w:r w:rsidRPr="1B08E68D">
        <w:rPr>
          <w:rFonts w:ascii="ArialMT" w:hAnsi="ArialMT" w:cs="ArialMT"/>
          <w:sz w:val="24"/>
          <w:szCs w:val="24"/>
        </w:rPr>
        <w:t>categories of staff:</w:t>
      </w:r>
    </w:p>
    <w:p w14:paraId="2837EF84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EC753F" w14:textId="75ABC302" w:rsidR="002D4C32" w:rsidRPr="008975EA" w:rsidRDefault="002D4C32" w:rsidP="00897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975EA">
        <w:rPr>
          <w:rFonts w:ascii="ArialMT" w:hAnsi="ArialMT" w:cs="ArialMT"/>
          <w:sz w:val="24"/>
          <w:szCs w:val="24"/>
        </w:rPr>
        <w:t>The University’s and the individual’s performance;</w:t>
      </w:r>
    </w:p>
    <w:p w14:paraId="7E5AA0A3" w14:textId="3042AA38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84A70">
        <w:rPr>
          <w:rFonts w:ascii="Arial" w:hAnsi="Arial" w:cs="Arial"/>
          <w:sz w:val="24"/>
          <w:szCs w:val="24"/>
        </w:rPr>
        <w:t>The</w:t>
      </w:r>
      <w:r w:rsidR="002D4C32" w:rsidRPr="00584A70">
        <w:rPr>
          <w:rFonts w:ascii="Arial" w:hAnsi="Arial" w:cs="Arial"/>
          <w:sz w:val="24"/>
          <w:szCs w:val="24"/>
        </w:rPr>
        <w:t xml:space="preserve"> University’s</w:t>
      </w:r>
      <w:r w:rsidR="002D4C32" w:rsidRPr="00604517">
        <w:rPr>
          <w:rFonts w:ascii="ArialMT" w:hAnsi="ArialMT" w:cs="ArialMT"/>
          <w:sz w:val="24"/>
          <w:szCs w:val="24"/>
        </w:rPr>
        <w:t xml:space="preserve"> financial position;</w:t>
      </w:r>
    </w:p>
    <w:p w14:paraId="75D19A9A" w14:textId="6464B499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n</w:t>
      </w:r>
      <w:r w:rsidR="002D4C32" w:rsidRPr="00604517">
        <w:rPr>
          <w:rFonts w:ascii="ArialMT" w:hAnsi="ArialMT" w:cs="ArialMT"/>
          <w:sz w:val="24"/>
          <w:szCs w:val="24"/>
        </w:rPr>
        <w:t xml:space="preserve">ationally agreed </w:t>
      </w:r>
      <w:r>
        <w:rPr>
          <w:rFonts w:ascii="ArialMT" w:hAnsi="ArialMT" w:cs="ArialMT"/>
          <w:sz w:val="24"/>
          <w:szCs w:val="24"/>
        </w:rPr>
        <w:t xml:space="preserve">HE sector </w:t>
      </w:r>
      <w:r w:rsidR="002D4C32" w:rsidRPr="00604517">
        <w:rPr>
          <w:rFonts w:ascii="ArialMT" w:hAnsi="ArialMT" w:cs="ArialMT"/>
          <w:sz w:val="24"/>
          <w:szCs w:val="24"/>
        </w:rPr>
        <w:t>pay settlement;</w:t>
      </w:r>
    </w:p>
    <w:p w14:paraId="0524FCDC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Data relating to the relativity of senior management salaries and associated</w:t>
      </w:r>
    </w:p>
    <w:p w14:paraId="77054196" w14:textId="6AB29E70" w:rsidR="002D4C32" w:rsidRDefault="008975EA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 </w:t>
      </w:r>
      <w:r>
        <w:tab/>
      </w:r>
      <w:r w:rsidR="002D4C32" w:rsidRPr="1B08E68D">
        <w:rPr>
          <w:rFonts w:ascii="ArialMT" w:hAnsi="ArialMT" w:cs="ArialMT"/>
          <w:sz w:val="24"/>
          <w:szCs w:val="24"/>
        </w:rPr>
        <w:t>contractual benefits (internal and external);</w:t>
      </w:r>
    </w:p>
    <w:p w14:paraId="1FB20424" w14:textId="7A5F9BD4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 xml:space="preserve">Relevant pay </w:t>
      </w:r>
      <w:r w:rsidR="003F4C08">
        <w:rPr>
          <w:rFonts w:ascii="ArialMT" w:hAnsi="ArialMT" w:cs="ArialMT"/>
          <w:sz w:val="24"/>
          <w:szCs w:val="24"/>
        </w:rPr>
        <w:t>benchmarking</w:t>
      </w:r>
      <w:r w:rsidR="003F4C08" w:rsidRPr="00604517">
        <w:rPr>
          <w:rFonts w:ascii="ArialMT" w:hAnsi="ArialMT" w:cs="ArialMT"/>
          <w:sz w:val="24"/>
          <w:szCs w:val="24"/>
        </w:rPr>
        <w:t xml:space="preserve"> </w:t>
      </w:r>
      <w:r w:rsidRPr="00604517">
        <w:rPr>
          <w:rFonts w:ascii="ArialMT" w:hAnsi="ArialMT" w:cs="ArialMT"/>
          <w:sz w:val="24"/>
          <w:szCs w:val="24"/>
        </w:rPr>
        <w:t>information such as the annual UCEA Senior Staff</w:t>
      </w:r>
    </w:p>
    <w:p w14:paraId="0B559B3E" w14:textId="400B8F5A" w:rsidR="002D4C32" w:rsidRDefault="002D4C32" w:rsidP="00604517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Remuneration </w:t>
      </w:r>
      <w:r w:rsidR="00584A70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>urvey;</w:t>
      </w:r>
    </w:p>
    <w:p w14:paraId="6E315BE8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Equal pay for work of equal value;</w:t>
      </w:r>
    </w:p>
    <w:p w14:paraId="769FD0EF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Market related recruitment and retention factors.</w:t>
      </w:r>
    </w:p>
    <w:p w14:paraId="6C1F523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A0F4E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5. Reporting of Senior Pay</w:t>
      </w:r>
    </w:p>
    <w:p w14:paraId="21DFDFF7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49FDA5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University’s annual Financial Statements publish the salary and benefits of the</w:t>
      </w:r>
    </w:p>
    <w:p w14:paraId="46415495" w14:textId="0E827BF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Vice-Chancellor as well as the number of staff rece</w:t>
      </w:r>
      <w:r w:rsidR="008975EA" w:rsidRPr="1B08E68D">
        <w:rPr>
          <w:rFonts w:ascii="ArialMT" w:hAnsi="ArialMT" w:cs="ArialMT"/>
          <w:sz w:val="24"/>
          <w:szCs w:val="24"/>
        </w:rPr>
        <w:t xml:space="preserve">iving remuneration of £100k and above </w:t>
      </w:r>
      <w:r w:rsidRPr="1B08E68D">
        <w:rPr>
          <w:rFonts w:ascii="ArialMT" w:hAnsi="ArialMT" w:cs="ArialMT"/>
          <w:sz w:val="24"/>
          <w:szCs w:val="24"/>
        </w:rPr>
        <w:t>in bands of £5k.</w:t>
      </w:r>
    </w:p>
    <w:p w14:paraId="5356AD9F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F4F90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6. Pay Ratios</w:t>
      </w:r>
    </w:p>
    <w:p w14:paraId="6A5E62EF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64596C5" w14:textId="73B8BD6F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The annual Financial Statements </w:t>
      </w:r>
      <w:r w:rsidR="008975EA" w:rsidRPr="1B08E68D">
        <w:rPr>
          <w:rFonts w:ascii="ArialMT" w:hAnsi="ArialMT" w:cs="ArialMT"/>
          <w:sz w:val="24"/>
          <w:szCs w:val="24"/>
        </w:rPr>
        <w:t xml:space="preserve">also </w:t>
      </w:r>
      <w:r w:rsidR="003F4C08" w:rsidRPr="1B08E68D">
        <w:rPr>
          <w:rFonts w:ascii="ArialMT" w:hAnsi="ArialMT" w:cs="ArialMT"/>
          <w:sz w:val="24"/>
          <w:szCs w:val="24"/>
        </w:rPr>
        <w:t xml:space="preserve">include </w:t>
      </w:r>
      <w:r w:rsidRPr="1B08E68D">
        <w:rPr>
          <w:rFonts w:ascii="ArialMT" w:hAnsi="ArialMT" w:cs="ArialMT"/>
          <w:sz w:val="24"/>
          <w:szCs w:val="24"/>
        </w:rPr>
        <w:t>the median salary of the total staffing body so that the Vice-Chancellor’</w:t>
      </w:r>
      <w:r w:rsidR="00604517" w:rsidRPr="1B08E68D">
        <w:rPr>
          <w:rFonts w:ascii="ArialMT" w:hAnsi="ArialMT" w:cs="ArialMT"/>
          <w:sz w:val="24"/>
          <w:szCs w:val="24"/>
        </w:rPr>
        <w:t xml:space="preserve">s salary </w:t>
      </w:r>
      <w:r w:rsidRPr="1B08E68D">
        <w:rPr>
          <w:rFonts w:ascii="ArialMT" w:hAnsi="ArialMT" w:cs="ArialMT"/>
          <w:sz w:val="24"/>
          <w:szCs w:val="24"/>
        </w:rPr>
        <w:t>and remuneration can be shown as multiples of the median.</w:t>
      </w:r>
    </w:p>
    <w:p w14:paraId="36B5AF07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08608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7. Living Wage</w:t>
      </w:r>
    </w:p>
    <w:p w14:paraId="236B213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FE5E1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 was accredited as a Living Wage employer by the Living Wage</w:t>
      </w:r>
    </w:p>
    <w:p w14:paraId="10FFE6F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Foundation in November 2019 and has paid the Livin</w:t>
      </w:r>
      <w:r w:rsidR="00604517">
        <w:rPr>
          <w:rFonts w:ascii="ArialMT" w:hAnsi="ArialMT" w:cs="ArialMT"/>
          <w:sz w:val="24"/>
          <w:szCs w:val="24"/>
        </w:rPr>
        <w:t xml:space="preserve">g Wage rate as a minimum to all </w:t>
      </w:r>
      <w:r>
        <w:rPr>
          <w:rFonts w:ascii="ArialMT" w:hAnsi="ArialMT" w:cs="ArialMT"/>
          <w:sz w:val="24"/>
          <w:szCs w:val="24"/>
        </w:rPr>
        <w:t>staff since August 2018.</w:t>
      </w:r>
    </w:p>
    <w:p w14:paraId="444B5AF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EE283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8. National Framework Agreement Pay Spine</w:t>
      </w:r>
    </w:p>
    <w:p w14:paraId="6088FE4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28FA3CB" w14:textId="21E08F09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All other staff are paid within the </w:t>
      </w:r>
      <w:r w:rsidR="00024245">
        <w:rPr>
          <w:rFonts w:ascii="ArialMT" w:hAnsi="ArialMT" w:cs="ArialMT"/>
          <w:sz w:val="24"/>
          <w:szCs w:val="24"/>
        </w:rPr>
        <w:t xml:space="preserve">JNCHES national </w:t>
      </w:r>
      <w:r w:rsidR="00604517">
        <w:rPr>
          <w:rFonts w:ascii="ArialMT" w:hAnsi="ArialMT" w:cs="ArialMT"/>
          <w:sz w:val="24"/>
          <w:szCs w:val="24"/>
        </w:rPr>
        <w:t>Pay Spine</w:t>
      </w:r>
      <w:r w:rsidR="00584A70">
        <w:rPr>
          <w:rFonts w:ascii="ArialMT" w:hAnsi="ArialMT" w:cs="ArialMT"/>
          <w:sz w:val="24"/>
          <w:szCs w:val="24"/>
        </w:rPr>
        <w:t xml:space="preserve"> and</w:t>
      </w:r>
      <w:r w:rsidR="00604517">
        <w:rPr>
          <w:rFonts w:ascii="ArialMT" w:hAnsi="ArialMT" w:cs="ArialMT"/>
          <w:sz w:val="24"/>
          <w:szCs w:val="24"/>
        </w:rPr>
        <w:t xml:space="preserve"> changes </w:t>
      </w:r>
      <w:r>
        <w:rPr>
          <w:rFonts w:ascii="ArialMT" w:hAnsi="ArialMT" w:cs="ArialMT"/>
          <w:sz w:val="24"/>
          <w:szCs w:val="24"/>
        </w:rPr>
        <w:t>are negotiated a</w:t>
      </w:r>
      <w:r w:rsidR="008975EA">
        <w:rPr>
          <w:rFonts w:ascii="ArialMT" w:hAnsi="ArialMT" w:cs="ArialMT"/>
          <w:sz w:val="24"/>
          <w:szCs w:val="24"/>
        </w:rPr>
        <w:t>nnually by UCEA on behalf of</w:t>
      </w:r>
      <w:r>
        <w:rPr>
          <w:rFonts w:ascii="ArialMT" w:hAnsi="ArialMT" w:cs="ArialMT"/>
          <w:sz w:val="24"/>
          <w:szCs w:val="24"/>
        </w:rPr>
        <w:t xml:space="preserve"> the member universities.</w:t>
      </w:r>
    </w:p>
    <w:p w14:paraId="5B8B467C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91BF58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University’s grading structure contains nine grades that span the national Pay</w:t>
      </w:r>
    </w:p>
    <w:p w14:paraId="0716206F" w14:textId="5B06453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Spine. HERA (Hig</w:t>
      </w:r>
      <w:r w:rsidR="008975EA" w:rsidRPr="1B08E68D">
        <w:rPr>
          <w:rFonts w:ascii="ArialMT" w:hAnsi="ArialMT" w:cs="ArialMT"/>
          <w:sz w:val="24"/>
          <w:szCs w:val="24"/>
        </w:rPr>
        <w:t>her Education Role Analysis) job</w:t>
      </w:r>
      <w:r w:rsidRPr="1B08E68D">
        <w:rPr>
          <w:rFonts w:ascii="ArialMT" w:hAnsi="ArialMT" w:cs="ArialMT"/>
          <w:sz w:val="24"/>
          <w:szCs w:val="24"/>
        </w:rPr>
        <w:t xml:space="preserve"> </w:t>
      </w:r>
      <w:r w:rsidR="008975EA" w:rsidRPr="1B08E68D">
        <w:rPr>
          <w:rFonts w:ascii="ArialMT" w:hAnsi="ArialMT" w:cs="ArialMT"/>
          <w:sz w:val="24"/>
          <w:szCs w:val="24"/>
        </w:rPr>
        <w:t>evaluation</w:t>
      </w:r>
      <w:r w:rsidRPr="1B08E68D">
        <w:rPr>
          <w:rFonts w:ascii="ArialMT" w:hAnsi="ArialMT" w:cs="ArialMT"/>
          <w:sz w:val="24"/>
          <w:szCs w:val="24"/>
        </w:rPr>
        <w:t xml:space="preserve"> is used to</w:t>
      </w:r>
      <w:r w:rsidR="008975EA"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>determine the grade of each job.</w:t>
      </w:r>
    </w:p>
    <w:p w14:paraId="76E6F32D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0BEFAD" w14:textId="3B61420B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Agreed changes to </w:t>
      </w:r>
      <w:r w:rsidR="008975EA">
        <w:rPr>
          <w:rFonts w:ascii="ArialMT" w:hAnsi="ArialMT" w:cs="ArialMT"/>
          <w:sz w:val="24"/>
          <w:szCs w:val="24"/>
        </w:rPr>
        <w:t>the Pay Spine are backdated to 1</w:t>
      </w:r>
      <w:r w:rsidR="008975EA" w:rsidRPr="008975EA">
        <w:rPr>
          <w:rFonts w:ascii="ArialMT" w:hAnsi="ArialMT" w:cs="ArialMT"/>
          <w:sz w:val="24"/>
          <w:szCs w:val="24"/>
          <w:vertAlign w:val="superscript"/>
        </w:rPr>
        <w:t>st</w:t>
      </w:r>
      <w:r w:rsidR="008975E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August of each year.</w:t>
      </w:r>
    </w:p>
    <w:p w14:paraId="05F669BD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943196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9. Performance Related Pay</w:t>
      </w:r>
    </w:p>
    <w:p w14:paraId="7E316E09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2632B3B" w14:textId="4206D7C2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 does not have a performance related pay scheme. </w:t>
      </w:r>
    </w:p>
    <w:p w14:paraId="1B90046A" w14:textId="77777777" w:rsidR="007C2030" w:rsidRDefault="007C203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C6EB69" w14:textId="77777777" w:rsidR="00490E66" w:rsidRDefault="00490E6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17E38D2" w14:textId="4A98E64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10. Talent Management</w:t>
      </w:r>
    </w:p>
    <w:p w14:paraId="0256A79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167CA0E" w14:textId="443C5A1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 </w:t>
      </w:r>
      <w:r w:rsidR="00537A04">
        <w:rPr>
          <w:rFonts w:ascii="ArialMT" w:hAnsi="ArialMT" w:cs="ArialMT"/>
          <w:sz w:val="24"/>
          <w:szCs w:val="24"/>
        </w:rPr>
        <w:t xml:space="preserve">is currently developing its Strategic Workforce Planning approach which includes </w:t>
      </w:r>
      <w:r>
        <w:rPr>
          <w:rFonts w:ascii="ArialMT" w:hAnsi="ArialMT" w:cs="ArialMT"/>
          <w:sz w:val="24"/>
          <w:szCs w:val="24"/>
        </w:rPr>
        <w:t>talent management.</w:t>
      </w:r>
    </w:p>
    <w:p w14:paraId="111FA7BC" w14:textId="36919EE2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D3A071" w14:textId="56F62F59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BD8C65A" w14:textId="389E0CC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11. Severance</w:t>
      </w:r>
    </w:p>
    <w:p w14:paraId="225E04CB" w14:textId="77777777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B6C1E8B" w14:textId="03AF8896" w:rsidR="00A00DD4" w:rsidRPr="008975EA" w:rsidRDefault="002D4C32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University’s approach to severance is documented within the </w:t>
      </w:r>
      <w:r w:rsidR="00F21F9E">
        <w:rPr>
          <w:rFonts w:ascii="ArialMT" w:hAnsi="ArialMT" w:cs="ArialMT"/>
          <w:sz w:val="24"/>
          <w:szCs w:val="24"/>
        </w:rPr>
        <w:t>Organisational Change Policy and Procedure</w:t>
      </w:r>
      <w:r w:rsidR="008975EA">
        <w:rPr>
          <w:rFonts w:ascii="ArialMT" w:hAnsi="ArialMT" w:cs="ArialMT"/>
          <w:sz w:val="24"/>
          <w:szCs w:val="24"/>
        </w:rPr>
        <w:t xml:space="preserve">. </w:t>
      </w:r>
      <w:r w:rsidR="00537A04">
        <w:rPr>
          <w:rFonts w:ascii="ArialMT" w:hAnsi="ArialMT" w:cs="ArialMT"/>
          <w:sz w:val="24"/>
          <w:szCs w:val="24"/>
        </w:rPr>
        <w:t xml:space="preserve">This is supplemented with </w:t>
      </w:r>
      <w:r w:rsidR="007C2030">
        <w:rPr>
          <w:rFonts w:ascii="ArialMT" w:hAnsi="ArialMT" w:cs="ArialMT"/>
          <w:sz w:val="24"/>
          <w:szCs w:val="24"/>
        </w:rPr>
        <w:t xml:space="preserve">a Senior Staff Severance </w:t>
      </w:r>
      <w:r w:rsidR="00246285">
        <w:rPr>
          <w:rFonts w:ascii="ArialMT" w:hAnsi="ArialMT" w:cs="ArialMT"/>
          <w:sz w:val="24"/>
          <w:szCs w:val="24"/>
        </w:rPr>
        <w:t>P</w:t>
      </w:r>
      <w:r w:rsidR="007C2030">
        <w:rPr>
          <w:rFonts w:ascii="ArialMT" w:hAnsi="ArialMT" w:cs="ArialMT"/>
          <w:sz w:val="24"/>
          <w:szCs w:val="24"/>
        </w:rPr>
        <w:t xml:space="preserve">olicy for senior post-holders. </w:t>
      </w:r>
    </w:p>
    <w:sectPr w:rsidR="00A00DD4" w:rsidRPr="00897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E273" w14:textId="77777777" w:rsidR="00617122" w:rsidRDefault="00617122" w:rsidP="00705663">
      <w:pPr>
        <w:spacing w:after="0" w:line="240" w:lineRule="auto"/>
      </w:pPr>
      <w:r>
        <w:separator/>
      </w:r>
    </w:p>
  </w:endnote>
  <w:endnote w:type="continuationSeparator" w:id="0">
    <w:p w14:paraId="5B03ACEA" w14:textId="77777777" w:rsidR="00617122" w:rsidRDefault="00617122" w:rsidP="00705663">
      <w:pPr>
        <w:spacing w:after="0" w:line="240" w:lineRule="auto"/>
      </w:pPr>
      <w:r>
        <w:continuationSeparator/>
      </w:r>
    </w:p>
  </w:endnote>
  <w:endnote w:type="continuationNotice" w:id="1">
    <w:p w14:paraId="176BED4D" w14:textId="77777777" w:rsidR="00617122" w:rsidRDefault="00617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FE32" w14:textId="77777777" w:rsidR="00BC6051" w:rsidRDefault="00BC6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79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E2FE2" w14:textId="02B452C6" w:rsidR="00FC7171" w:rsidRDefault="00FC71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E6C15" w14:textId="77777777" w:rsidR="00FC7171" w:rsidRDefault="00FC7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0F2E" w14:textId="77777777" w:rsidR="00BC6051" w:rsidRDefault="00BC6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0845" w14:textId="77777777" w:rsidR="00617122" w:rsidRDefault="00617122" w:rsidP="00705663">
      <w:pPr>
        <w:spacing w:after="0" w:line="240" w:lineRule="auto"/>
      </w:pPr>
      <w:r>
        <w:separator/>
      </w:r>
    </w:p>
  </w:footnote>
  <w:footnote w:type="continuationSeparator" w:id="0">
    <w:p w14:paraId="148347F0" w14:textId="77777777" w:rsidR="00617122" w:rsidRDefault="00617122" w:rsidP="00705663">
      <w:pPr>
        <w:spacing w:after="0" w:line="240" w:lineRule="auto"/>
      </w:pPr>
      <w:r>
        <w:continuationSeparator/>
      </w:r>
    </w:p>
  </w:footnote>
  <w:footnote w:type="continuationNotice" w:id="1">
    <w:p w14:paraId="34402FEC" w14:textId="77777777" w:rsidR="00617122" w:rsidRDefault="00617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2A1C" w14:textId="77777777" w:rsidR="00BC6051" w:rsidRDefault="00BC6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3079" w14:textId="501B5CF0" w:rsidR="00705663" w:rsidRPr="00FC7171" w:rsidRDefault="00705663" w:rsidP="00705663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422E" w14:textId="77777777" w:rsidR="00BC6051" w:rsidRDefault="00BC6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C8E"/>
    <w:multiLevelType w:val="hybridMultilevel"/>
    <w:tmpl w:val="B3DEBD56"/>
    <w:lvl w:ilvl="0" w:tplc="A8AA2B54">
      <w:start w:val="10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0rkP88IC1rREBXJ4wJhuP2TVdWzJ6pny0QwT6rBkjotMLPUlQLG4eQ8nNEckgf2MdXIbYwuSxbjDQSqHYJDdGQ==" w:salt="dv66d7gh3f/QTiVK84Cj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32"/>
    <w:rsid w:val="0000658E"/>
    <w:rsid w:val="00011BB0"/>
    <w:rsid w:val="0001697E"/>
    <w:rsid w:val="00024245"/>
    <w:rsid w:val="000322D7"/>
    <w:rsid w:val="000538CC"/>
    <w:rsid w:val="00060479"/>
    <w:rsid w:val="00064684"/>
    <w:rsid w:val="00074F4D"/>
    <w:rsid w:val="0008468C"/>
    <w:rsid w:val="00090910"/>
    <w:rsid w:val="000B28E3"/>
    <w:rsid w:val="000B32B7"/>
    <w:rsid w:val="000B5F35"/>
    <w:rsid w:val="000C4C85"/>
    <w:rsid w:val="000D1D71"/>
    <w:rsid w:val="001074D0"/>
    <w:rsid w:val="00111E1D"/>
    <w:rsid w:val="00113E50"/>
    <w:rsid w:val="001159BD"/>
    <w:rsid w:val="00116305"/>
    <w:rsid w:val="0012408C"/>
    <w:rsid w:val="00135853"/>
    <w:rsid w:val="00152D8B"/>
    <w:rsid w:val="00161B20"/>
    <w:rsid w:val="00165203"/>
    <w:rsid w:val="00170B2F"/>
    <w:rsid w:val="00181059"/>
    <w:rsid w:val="00182F38"/>
    <w:rsid w:val="001865AC"/>
    <w:rsid w:val="00186706"/>
    <w:rsid w:val="001C39FA"/>
    <w:rsid w:val="001C4FC3"/>
    <w:rsid w:val="001D0C28"/>
    <w:rsid w:val="001D35DB"/>
    <w:rsid w:val="001E4A2D"/>
    <w:rsid w:val="001E4C36"/>
    <w:rsid w:val="001E63D7"/>
    <w:rsid w:val="001F3E17"/>
    <w:rsid w:val="00201248"/>
    <w:rsid w:val="00214D1D"/>
    <w:rsid w:val="00215171"/>
    <w:rsid w:val="00222B3B"/>
    <w:rsid w:val="0022367D"/>
    <w:rsid w:val="00231A31"/>
    <w:rsid w:val="00246285"/>
    <w:rsid w:val="0024631D"/>
    <w:rsid w:val="0025703B"/>
    <w:rsid w:val="002D2D7D"/>
    <w:rsid w:val="002D4C32"/>
    <w:rsid w:val="002F1F9B"/>
    <w:rsid w:val="00307FA7"/>
    <w:rsid w:val="00320364"/>
    <w:rsid w:val="003239EF"/>
    <w:rsid w:val="003256A0"/>
    <w:rsid w:val="00331A9B"/>
    <w:rsid w:val="00333649"/>
    <w:rsid w:val="00336407"/>
    <w:rsid w:val="00340481"/>
    <w:rsid w:val="00342D04"/>
    <w:rsid w:val="00355E20"/>
    <w:rsid w:val="00370E6B"/>
    <w:rsid w:val="00382354"/>
    <w:rsid w:val="00384161"/>
    <w:rsid w:val="0038512B"/>
    <w:rsid w:val="00396454"/>
    <w:rsid w:val="003B2D9B"/>
    <w:rsid w:val="003C1B88"/>
    <w:rsid w:val="003C2413"/>
    <w:rsid w:val="003D1381"/>
    <w:rsid w:val="003D6ED0"/>
    <w:rsid w:val="003E41AF"/>
    <w:rsid w:val="003F4C08"/>
    <w:rsid w:val="003F7F2F"/>
    <w:rsid w:val="004046EB"/>
    <w:rsid w:val="004120CE"/>
    <w:rsid w:val="0041365E"/>
    <w:rsid w:val="004162C2"/>
    <w:rsid w:val="00421088"/>
    <w:rsid w:val="004328D6"/>
    <w:rsid w:val="004373C1"/>
    <w:rsid w:val="00443E41"/>
    <w:rsid w:val="0044674F"/>
    <w:rsid w:val="00450C66"/>
    <w:rsid w:val="00490E66"/>
    <w:rsid w:val="00495CE8"/>
    <w:rsid w:val="004A3BA8"/>
    <w:rsid w:val="004C3C81"/>
    <w:rsid w:val="004C577F"/>
    <w:rsid w:val="004E16A4"/>
    <w:rsid w:val="004F6A27"/>
    <w:rsid w:val="005232E1"/>
    <w:rsid w:val="0053292C"/>
    <w:rsid w:val="0053737E"/>
    <w:rsid w:val="00537A04"/>
    <w:rsid w:val="005400F1"/>
    <w:rsid w:val="00541787"/>
    <w:rsid w:val="00555876"/>
    <w:rsid w:val="00581E77"/>
    <w:rsid w:val="005820AA"/>
    <w:rsid w:val="00584A70"/>
    <w:rsid w:val="00590231"/>
    <w:rsid w:val="00595DF4"/>
    <w:rsid w:val="005A24AD"/>
    <w:rsid w:val="005A6262"/>
    <w:rsid w:val="005C08BF"/>
    <w:rsid w:val="005C3380"/>
    <w:rsid w:val="005E6113"/>
    <w:rsid w:val="005F530B"/>
    <w:rsid w:val="005F7E9B"/>
    <w:rsid w:val="00604517"/>
    <w:rsid w:val="00606450"/>
    <w:rsid w:val="00617122"/>
    <w:rsid w:val="00626CF9"/>
    <w:rsid w:val="00633C39"/>
    <w:rsid w:val="0063662A"/>
    <w:rsid w:val="00636721"/>
    <w:rsid w:val="00642E64"/>
    <w:rsid w:val="00644EFB"/>
    <w:rsid w:val="006453FC"/>
    <w:rsid w:val="006A5704"/>
    <w:rsid w:val="006C193E"/>
    <w:rsid w:val="006C2AF2"/>
    <w:rsid w:val="006D320C"/>
    <w:rsid w:val="006E09E2"/>
    <w:rsid w:val="006F3183"/>
    <w:rsid w:val="00700756"/>
    <w:rsid w:val="007041B6"/>
    <w:rsid w:val="00705663"/>
    <w:rsid w:val="007067A3"/>
    <w:rsid w:val="00712410"/>
    <w:rsid w:val="007263EA"/>
    <w:rsid w:val="0072677B"/>
    <w:rsid w:val="007365F6"/>
    <w:rsid w:val="00740CD5"/>
    <w:rsid w:val="00743A0D"/>
    <w:rsid w:val="007763D6"/>
    <w:rsid w:val="007860DE"/>
    <w:rsid w:val="00793978"/>
    <w:rsid w:val="007A4219"/>
    <w:rsid w:val="007A55AB"/>
    <w:rsid w:val="007B2D48"/>
    <w:rsid w:val="007B5306"/>
    <w:rsid w:val="007C0C34"/>
    <w:rsid w:val="007C121A"/>
    <w:rsid w:val="007C1875"/>
    <w:rsid w:val="007C2030"/>
    <w:rsid w:val="007D33C3"/>
    <w:rsid w:val="007D60AC"/>
    <w:rsid w:val="007D73EB"/>
    <w:rsid w:val="007E45EB"/>
    <w:rsid w:val="007F3F14"/>
    <w:rsid w:val="0080335E"/>
    <w:rsid w:val="00803FF3"/>
    <w:rsid w:val="00825EDC"/>
    <w:rsid w:val="008302DD"/>
    <w:rsid w:val="00837137"/>
    <w:rsid w:val="0086090A"/>
    <w:rsid w:val="00864C12"/>
    <w:rsid w:val="00865805"/>
    <w:rsid w:val="00867460"/>
    <w:rsid w:val="00870D98"/>
    <w:rsid w:val="00871800"/>
    <w:rsid w:val="008853B3"/>
    <w:rsid w:val="008918B4"/>
    <w:rsid w:val="0089367C"/>
    <w:rsid w:val="008975EA"/>
    <w:rsid w:val="008A0B49"/>
    <w:rsid w:val="008A3974"/>
    <w:rsid w:val="008A6610"/>
    <w:rsid w:val="008C3E45"/>
    <w:rsid w:val="008C420F"/>
    <w:rsid w:val="008C45EC"/>
    <w:rsid w:val="008D2FDE"/>
    <w:rsid w:val="008D6461"/>
    <w:rsid w:val="008E00AB"/>
    <w:rsid w:val="008E3C9E"/>
    <w:rsid w:val="008F44BA"/>
    <w:rsid w:val="0090362B"/>
    <w:rsid w:val="00910AF6"/>
    <w:rsid w:val="00912998"/>
    <w:rsid w:val="00912F0D"/>
    <w:rsid w:val="00917679"/>
    <w:rsid w:val="0092665E"/>
    <w:rsid w:val="00986065"/>
    <w:rsid w:val="00986132"/>
    <w:rsid w:val="009A348D"/>
    <w:rsid w:val="009A438D"/>
    <w:rsid w:val="009B2B90"/>
    <w:rsid w:val="009C429F"/>
    <w:rsid w:val="009D398C"/>
    <w:rsid w:val="00A00DD4"/>
    <w:rsid w:val="00A06011"/>
    <w:rsid w:val="00A15537"/>
    <w:rsid w:val="00A558AF"/>
    <w:rsid w:val="00A7101E"/>
    <w:rsid w:val="00A77E21"/>
    <w:rsid w:val="00A81CC8"/>
    <w:rsid w:val="00AA33A4"/>
    <w:rsid w:val="00AA6955"/>
    <w:rsid w:val="00AB4FC2"/>
    <w:rsid w:val="00AC5B15"/>
    <w:rsid w:val="00AE0BBB"/>
    <w:rsid w:val="00B049DE"/>
    <w:rsid w:val="00B51CC5"/>
    <w:rsid w:val="00B65C06"/>
    <w:rsid w:val="00B86FFE"/>
    <w:rsid w:val="00B907DF"/>
    <w:rsid w:val="00B92C3E"/>
    <w:rsid w:val="00B930C7"/>
    <w:rsid w:val="00BA2C50"/>
    <w:rsid w:val="00BA796E"/>
    <w:rsid w:val="00BB0E50"/>
    <w:rsid w:val="00BB516A"/>
    <w:rsid w:val="00BC6051"/>
    <w:rsid w:val="00BE0870"/>
    <w:rsid w:val="00BF1362"/>
    <w:rsid w:val="00C23CB0"/>
    <w:rsid w:val="00C34822"/>
    <w:rsid w:val="00C4767B"/>
    <w:rsid w:val="00C507C1"/>
    <w:rsid w:val="00C55EB8"/>
    <w:rsid w:val="00C626A3"/>
    <w:rsid w:val="00C76EF3"/>
    <w:rsid w:val="00C803C4"/>
    <w:rsid w:val="00C847DF"/>
    <w:rsid w:val="00CC2068"/>
    <w:rsid w:val="00CC4369"/>
    <w:rsid w:val="00CC55DA"/>
    <w:rsid w:val="00CD1915"/>
    <w:rsid w:val="00CD3760"/>
    <w:rsid w:val="00CD704A"/>
    <w:rsid w:val="00CE2FDC"/>
    <w:rsid w:val="00CF0EB9"/>
    <w:rsid w:val="00CF0F8B"/>
    <w:rsid w:val="00CF65D5"/>
    <w:rsid w:val="00D068D7"/>
    <w:rsid w:val="00D409D7"/>
    <w:rsid w:val="00D41D9E"/>
    <w:rsid w:val="00D47FED"/>
    <w:rsid w:val="00D71760"/>
    <w:rsid w:val="00D717E3"/>
    <w:rsid w:val="00D90F65"/>
    <w:rsid w:val="00D94FBB"/>
    <w:rsid w:val="00DC34DF"/>
    <w:rsid w:val="00DD0FF0"/>
    <w:rsid w:val="00DD726D"/>
    <w:rsid w:val="00DF0E52"/>
    <w:rsid w:val="00DF506A"/>
    <w:rsid w:val="00E15DCC"/>
    <w:rsid w:val="00E557C4"/>
    <w:rsid w:val="00E6527B"/>
    <w:rsid w:val="00E748CC"/>
    <w:rsid w:val="00E76520"/>
    <w:rsid w:val="00E87329"/>
    <w:rsid w:val="00EA1438"/>
    <w:rsid w:val="00EA76AD"/>
    <w:rsid w:val="00EB4A29"/>
    <w:rsid w:val="00EC0285"/>
    <w:rsid w:val="00F0665B"/>
    <w:rsid w:val="00F168FA"/>
    <w:rsid w:val="00F21F9E"/>
    <w:rsid w:val="00F36190"/>
    <w:rsid w:val="00F438E3"/>
    <w:rsid w:val="00F61778"/>
    <w:rsid w:val="00F708AF"/>
    <w:rsid w:val="00F93F2E"/>
    <w:rsid w:val="00FA4C15"/>
    <w:rsid w:val="00FB2D6F"/>
    <w:rsid w:val="00FB7644"/>
    <w:rsid w:val="00FC7171"/>
    <w:rsid w:val="00FD2DEF"/>
    <w:rsid w:val="03BD87E0"/>
    <w:rsid w:val="04B60FF4"/>
    <w:rsid w:val="0C8C507F"/>
    <w:rsid w:val="0FDD5D4E"/>
    <w:rsid w:val="1B08E68D"/>
    <w:rsid w:val="1E35B25C"/>
    <w:rsid w:val="289C5E92"/>
    <w:rsid w:val="3050AA95"/>
    <w:rsid w:val="382D2A52"/>
    <w:rsid w:val="3B388486"/>
    <w:rsid w:val="3DF2EDEE"/>
    <w:rsid w:val="42F91919"/>
    <w:rsid w:val="56D38403"/>
    <w:rsid w:val="5AB6FDA8"/>
    <w:rsid w:val="5B5FCBD5"/>
    <w:rsid w:val="6DC4F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9A7B"/>
  <w15:chartTrackingRefBased/>
  <w15:docId w15:val="{7D70B0AF-48C6-413F-93F6-D67C172F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63"/>
  </w:style>
  <w:style w:type="paragraph" w:styleId="Footer">
    <w:name w:val="footer"/>
    <w:basedOn w:val="Normal"/>
    <w:link w:val="Foot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63"/>
  </w:style>
  <w:style w:type="paragraph" w:styleId="Revision">
    <w:name w:val="Revision"/>
    <w:hidden/>
    <w:uiPriority w:val="99"/>
    <w:semiHidden/>
    <w:rsid w:val="003F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466AE-A8A8-42B8-B2CB-B78E9790B6C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71906445-7B4E-4531-BB00-923F8B8E3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0C312-96B6-4C21-B2C2-5FF5796941AC}"/>
</file>

<file path=customXml/itemProps4.xml><?xml version="1.0" encoding="utf-8"?>
<ds:datastoreItem xmlns:ds="http://schemas.openxmlformats.org/officeDocument/2006/customXml" ds:itemID="{3C2DECB8-0A8B-4E20-ABBE-3117A4B3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8</DocSecurity>
  <Lines>32</Lines>
  <Paragraphs>9</Paragraphs>
  <ScaleCrop>false</ScaleCrop>
  <Company>Cardiff Met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Sian</dc:creator>
  <cp:keywords/>
  <dc:description/>
  <cp:lastModifiedBy>Samphier, Emily</cp:lastModifiedBy>
  <cp:revision>3</cp:revision>
  <dcterms:created xsi:type="dcterms:W3CDTF">2025-01-08T14:23:00Z</dcterms:created>
  <dcterms:modified xsi:type="dcterms:W3CDTF">2025-01-09T10:19:00Z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_dlc_DocIdItemGuid">
    <vt:lpwstr>f7f8b743-262b-4dda-96b1-20cc0f3a0948</vt:lpwstr>
  </property>
  <property fmtid="{D5CDD505-2E9C-101B-9397-08002B2CF9AE}" pid="4" name="Order">
    <vt:r8>94600</vt:r8>
  </property>
  <property fmtid="{D5CDD505-2E9C-101B-9397-08002B2CF9AE}" pid="5" name="Sensitivity">
    <vt:lpwstr>Public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activity">
    <vt:lpwstr>{"FileActivityType":"6","FileActivityTimeStamp":"2024-10-22T12:11:23.600Z","FileActivityUsersOnPage":[{"DisplayName":"Thomas, Sian","Id":"sm15575@cardiffmet.ac.uk"}],"FileActivityNavigationId":null}</vt:lpwstr>
  </property>
  <property fmtid="{D5CDD505-2E9C-101B-9397-08002B2CF9AE}" pid="13" name="SharedWithUser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